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华文行楷"/>
          <w:sz w:val="96"/>
          <w:szCs w:val="74"/>
        </w:rPr>
      </w:pPr>
    </w:p>
    <w:p>
      <w:pPr>
        <w:jc w:val="left"/>
        <w:rPr>
          <w:rFonts w:ascii="Times New Roman" w:hAnsi="Times New Roman" w:eastAsia="华文行楷"/>
          <w:sz w:val="96"/>
          <w:szCs w:val="74"/>
        </w:rPr>
      </w:pPr>
      <w:r>
        <w:drawing>
          <wp:inline distT="0" distB="0" distL="114300" distR="114300">
            <wp:extent cx="1104900" cy="1023620"/>
            <wp:effectExtent l="0" t="0" r="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cstate="print"/>
                    <a:stretch>
                      <a:fillRect/>
                    </a:stretch>
                  </pic:blipFill>
                  <pic:spPr>
                    <a:xfrm>
                      <a:off x="0" y="0"/>
                      <a:ext cx="1104900" cy="1023620"/>
                    </a:xfrm>
                    <a:prstGeom prst="rect">
                      <a:avLst/>
                    </a:prstGeom>
                    <a:noFill/>
                    <a:ln w="9525">
                      <a:noFill/>
                    </a:ln>
                  </pic:spPr>
                </pic:pic>
              </a:graphicData>
            </a:graphic>
          </wp:inline>
        </w:drawing>
      </w:r>
      <w:r>
        <w:rPr>
          <w:rFonts w:hint="eastAsia" w:ascii="Times New Roman" w:hAnsi="Times New Roman" w:eastAsia="华文行楷"/>
          <w:sz w:val="96"/>
          <w:szCs w:val="74"/>
        </w:rPr>
        <w:t>高教信息参考</w:t>
      </w:r>
    </w:p>
    <w:p>
      <w:pPr>
        <w:spacing w:line="240" w:lineRule="atLeast"/>
        <w:jc w:val="center"/>
        <w:rPr>
          <w:rFonts w:ascii="黑体" w:hAnsi="黑体" w:eastAsia="黑体" w:cs="黑体"/>
          <w:sz w:val="32"/>
          <w:szCs w:val="32"/>
        </w:rPr>
      </w:pPr>
      <w:r>
        <w:rPr>
          <w:rFonts w:hint="eastAsia" w:ascii="黑体" w:hAnsi="黑体" w:eastAsia="黑体" w:cs="黑体"/>
          <w:sz w:val="32"/>
          <w:szCs w:val="32"/>
        </w:rPr>
        <w:t xml:space="preserve">    INFORMATION REVIEW OF HIGHER EDUCATION</w:t>
      </w:r>
    </w:p>
    <w:p>
      <w:pPr>
        <w:jc w:val="center"/>
        <w:rPr>
          <w:rFonts w:ascii="Times New Roman" w:hAnsi="Times New Roman" w:eastAsia="楷体"/>
          <w:sz w:val="32"/>
          <w:szCs w:val="32"/>
        </w:rPr>
      </w:pPr>
      <w:r>
        <w:rPr>
          <w:rFonts w:ascii="Times New Roman" w:hAnsi="Times New Roman"/>
          <w:b/>
          <w:bCs/>
          <w:sz w:val="32"/>
          <w:szCs w:val="32"/>
        </w:rPr>
        <w:pict>
          <v:shape id="_x0000_s1026" o:spid="_x0000_s1026" o:spt="32" type="#_x0000_t32" style="position:absolute;left:0pt;margin-left:-5.4pt;margin-top:27.1pt;height:0.05pt;width:472.25pt;z-index:251657216;mso-width-relative:page;mso-height-relative:page;" filled="f" stroked="t" coordsize="21600,21600" o:gfxdata="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EH6tcAAAAJAQAA&#10;DwAAAAAAAAABACAAAAAiAAAAZHJzL2Rvd25yZXYueG1sUEsBAhQAFAAAAAgAh07iQPK6SZfhAQAA&#10;pgMAAA4AAAAAAAAAAQAgAAAAJgEAAGRycy9lMm9Eb2MueG1sUEsFBgAAAAAGAAYAWQEAAHkFAAAA&#10;AA==&#10;">
            <v:path arrowok="t"/>
            <v:fill on="f" focussize="0,0"/>
            <v:stroke weight="5pt" color="#FF0000"/>
            <v:imagedata o:title=""/>
            <o:lock v:ext="edit"/>
          </v:shape>
        </w:pict>
      </w:r>
      <w:r>
        <w:rPr>
          <w:rFonts w:ascii="Times New Roman" w:hAnsi="Times New Roman" w:eastAsia="楷体"/>
          <w:sz w:val="32"/>
          <w:szCs w:val="32"/>
        </w:rPr>
        <w:t xml:space="preserve">          </w:t>
      </w:r>
    </w:p>
    <w:p>
      <w:pPr>
        <w:jc w:val="center"/>
        <w:rPr>
          <w:rFonts w:ascii="Times New Roman" w:hAnsi="Times New Roman" w:eastAsia="楷体"/>
          <w:b/>
          <w:sz w:val="32"/>
          <w:szCs w:val="32"/>
        </w:rPr>
      </w:pPr>
      <w:r>
        <w:rPr>
          <w:rFonts w:hint="eastAsia" w:ascii="Times New Roman" w:hAnsi="Times New Roman" w:eastAsia="楷体"/>
          <w:sz w:val="32"/>
          <w:szCs w:val="32"/>
        </w:rPr>
        <w:t xml:space="preserve">    </w:t>
      </w:r>
      <w:r>
        <w:rPr>
          <w:rFonts w:hint="eastAsia" w:ascii="楷体" w:hAnsi="楷体" w:eastAsia="楷体" w:cs="楷体"/>
          <w:b/>
          <w:bCs/>
          <w:sz w:val="32"/>
          <w:szCs w:val="32"/>
        </w:rPr>
        <w:t>发展规划处(高教研究所）</w:t>
      </w:r>
      <w:r>
        <w:rPr>
          <w:rFonts w:ascii="Times New Roman" w:hAnsi="Times New Roman" w:eastAsia="楷体"/>
          <w:b/>
          <w:sz w:val="32"/>
          <w:szCs w:val="32"/>
        </w:rPr>
        <w:t>编</w:t>
      </w:r>
      <w:r>
        <w:rPr>
          <w:rFonts w:ascii="Times New Roman" w:hAnsi="Times New Roman" w:eastAsia="楷体"/>
          <w:sz w:val="32"/>
          <w:szCs w:val="32"/>
        </w:rPr>
        <w:t xml:space="preserve">   </w:t>
      </w:r>
      <w:r>
        <w:rPr>
          <w:rFonts w:ascii="Times New Roman" w:hAnsi="Times New Roman" w:eastAsia="楷体"/>
          <w:b/>
          <w:sz w:val="32"/>
          <w:szCs w:val="32"/>
        </w:rPr>
        <w:t>201</w:t>
      </w:r>
      <w:r>
        <w:rPr>
          <w:rFonts w:hint="eastAsia" w:ascii="Times New Roman" w:hAnsi="Times New Roman" w:eastAsia="楷体"/>
          <w:b/>
          <w:sz w:val="32"/>
          <w:szCs w:val="32"/>
        </w:rPr>
        <w:t>8</w:t>
      </w:r>
      <w:r>
        <w:rPr>
          <w:rFonts w:ascii="Times New Roman" w:hAnsi="Times New Roman" w:eastAsia="楷体"/>
          <w:b/>
          <w:sz w:val="32"/>
          <w:szCs w:val="32"/>
        </w:rPr>
        <w:t>年</w:t>
      </w:r>
      <w:r>
        <w:rPr>
          <w:rFonts w:hint="eastAsia" w:ascii="Times New Roman" w:hAnsi="Times New Roman" w:eastAsia="楷体"/>
          <w:b/>
          <w:sz w:val="32"/>
          <w:szCs w:val="32"/>
        </w:rPr>
        <w:t>第</w:t>
      </w:r>
      <w:r>
        <w:rPr>
          <w:rFonts w:hint="eastAsia" w:ascii="Times New Roman" w:hAnsi="Times New Roman" w:eastAsia="PMingLiU"/>
          <w:b/>
          <w:sz w:val="32"/>
          <w:szCs w:val="32"/>
          <w:lang w:eastAsia="zh-TW"/>
        </w:rPr>
        <w:t>0</w:t>
      </w:r>
      <w:r>
        <w:rPr>
          <w:rFonts w:hint="eastAsia" w:ascii="Times New Roman" w:hAnsi="Times New Roman" w:eastAsia="宋体"/>
          <w:b/>
          <w:sz w:val="32"/>
          <w:szCs w:val="32"/>
        </w:rPr>
        <w:t>1</w:t>
      </w:r>
      <w:r>
        <w:rPr>
          <w:rFonts w:hint="eastAsia" w:ascii="Times New Roman" w:hAnsi="Times New Roman" w:eastAsia="楷体"/>
          <w:b/>
          <w:sz w:val="32"/>
          <w:szCs w:val="32"/>
        </w:rPr>
        <w:t>期</w:t>
      </w:r>
    </w:p>
    <w:p/>
    <w:p/>
    <w:p/>
    <w:p>
      <w:pPr>
        <w:spacing w:afterLines="100" w:line="560" w:lineRule="exact"/>
        <w:rPr>
          <w:rFonts w:ascii="Times New Roman" w:hAnsi="Times New Roman" w:eastAsia="黑体"/>
          <w:sz w:val="36"/>
          <w:szCs w:val="36"/>
        </w:rPr>
      </w:pPr>
      <w:r>
        <w:rPr>
          <w:rFonts w:hint="eastAsia" w:ascii="Times New Roman" w:hAnsi="Times New Roman" w:eastAsia="黑体"/>
          <w:sz w:val="36"/>
          <w:szCs w:val="36"/>
        </w:rPr>
        <w:t>本期导读</w:t>
      </w:r>
    </w:p>
    <w:p>
      <w:pPr>
        <w:numPr>
          <w:ilvl w:val="0"/>
          <w:numId w:val="1"/>
        </w:numPr>
        <w:spacing w:line="700" w:lineRule="exact"/>
        <w:rPr>
          <w:bCs/>
          <w:sz w:val="32"/>
          <w:szCs w:val="32"/>
        </w:rPr>
      </w:pPr>
      <w:r>
        <w:rPr>
          <w:rFonts w:hint="eastAsia"/>
          <w:bCs/>
          <w:sz w:val="32"/>
          <w:szCs w:val="32"/>
        </w:rPr>
        <w:t>我国首个高等教育教学质量国家标准发布</w:t>
      </w:r>
    </w:p>
    <w:p>
      <w:pPr>
        <w:pStyle w:val="2"/>
        <w:widowControl/>
        <w:numPr>
          <w:ilvl w:val="0"/>
          <w:numId w:val="2"/>
        </w:numPr>
        <w:spacing w:beforeAutospacing="0" w:afterAutospacing="0" w:line="700" w:lineRule="exact"/>
        <w:jc w:val="both"/>
        <w:rPr>
          <w:rFonts w:hint="default" w:asciiTheme="minorHAnsi" w:hAnsiTheme="minorHAnsi" w:eastAsiaTheme="minorEastAsia" w:cstheme="minorBidi"/>
          <w:b w:val="0"/>
          <w:bCs/>
          <w:kern w:val="2"/>
          <w:sz w:val="32"/>
          <w:szCs w:val="32"/>
        </w:rPr>
      </w:pPr>
      <w:bookmarkStart w:id="0" w:name="_Toc29736"/>
      <w:r>
        <w:rPr>
          <w:rFonts w:asciiTheme="minorHAnsi" w:hAnsiTheme="minorHAnsi" w:eastAsiaTheme="minorEastAsia" w:cstheme="minorBidi"/>
          <w:b w:val="0"/>
          <w:bCs/>
          <w:kern w:val="2"/>
          <w:sz w:val="32"/>
          <w:szCs w:val="32"/>
        </w:rPr>
        <w:t>产学研要从“紧密结合”向“深度融合”转变</w:t>
      </w:r>
      <w:bookmarkEnd w:id="0"/>
    </w:p>
    <w:p>
      <w:pPr>
        <w:pStyle w:val="8"/>
        <w:widowControl/>
        <w:numPr>
          <w:ilvl w:val="0"/>
          <w:numId w:val="3"/>
        </w:numPr>
        <w:spacing w:beforeAutospacing="0" w:afterAutospacing="0" w:line="700" w:lineRule="exact"/>
        <w:jc w:val="both"/>
        <w:rPr>
          <w:rFonts w:cstheme="minorBidi"/>
          <w:bCs/>
          <w:kern w:val="2"/>
          <w:sz w:val="32"/>
          <w:szCs w:val="32"/>
        </w:rPr>
      </w:pPr>
      <w:r>
        <w:rPr>
          <w:rFonts w:hint="eastAsia" w:cstheme="minorBidi"/>
          <w:bCs/>
          <w:kern w:val="2"/>
          <w:sz w:val="32"/>
          <w:szCs w:val="32"/>
        </w:rPr>
        <w:t>西安交通大学积极推进科研体制机制改革</w:t>
      </w:r>
    </w:p>
    <w:p>
      <w:pPr>
        <w:pStyle w:val="2"/>
        <w:widowControl/>
        <w:numPr>
          <w:ilvl w:val="0"/>
          <w:numId w:val="4"/>
        </w:numPr>
        <w:shd w:val="clear" w:color="auto" w:fill="FFFFFF"/>
        <w:spacing w:beforeAutospacing="0" w:afterAutospacing="0" w:line="700" w:lineRule="exact"/>
        <w:jc w:val="both"/>
        <w:rPr>
          <w:rFonts w:hint="default" w:asciiTheme="minorHAnsi" w:hAnsiTheme="minorHAnsi" w:eastAsiaTheme="minorEastAsia" w:cstheme="minorBidi"/>
          <w:b w:val="0"/>
          <w:bCs/>
          <w:kern w:val="2"/>
          <w:sz w:val="32"/>
          <w:szCs w:val="32"/>
        </w:rPr>
      </w:pPr>
      <w:bookmarkStart w:id="1" w:name="_Toc31592"/>
      <w:r>
        <w:rPr>
          <w:rFonts w:asciiTheme="minorHAnsi" w:hAnsiTheme="minorHAnsi" w:eastAsiaTheme="minorEastAsia" w:cstheme="minorBidi"/>
          <w:b w:val="0"/>
          <w:bCs/>
          <w:kern w:val="2"/>
          <w:sz w:val="32"/>
          <w:szCs w:val="32"/>
        </w:rPr>
        <w:t>经合组织发布报告聚焦课堂视频研究</w:t>
      </w:r>
      <w:bookmarkEnd w:id="1"/>
    </w:p>
    <w:p>
      <w:pPr>
        <w:widowControl/>
        <w:numPr>
          <w:ilvl w:val="0"/>
          <w:numId w:val="5"/>
        </w:numPr>
        <w:spacing w:line="700" w:lineRule="exact"/>
        <w:rPr>
          <w:bCs/>
          <w:sz w:val="32"/>
          <w:szCs w:val="32"/>
        </w:rPr>
      </w:pPr>
      <w:r>
        <w:rPr>
          <w:rFonts w:hint="eastAsia"/>
          <w:bCs/>
          <w:sz w:val="32"/>
          <w:szCs w:val="32"/>
        </w:rPr>
        <w:t>经典导读：《高等教育新论——多学科的研究》</w:t>
      </w:r>
    </w:p>
    <w:p>
      <w:pPr>
        <w:spacing w:line="700" w:lineRule="exact"/>
        <w:rPr>
          <w:bCs/>
          <w:sz w:val="32"/>
          <w:szCs w:val="32"/>
        </w:rPr>
      </w:pPr>
    </w:p>
    <w:p>
      <w:pPr>
        <w:rPr>
          <w:bCs/>
          <w:sz w:val="32"/>
          <w:szCs w:val="32"/>
        </w:rPr>
      </w:pPr>
    </w:p>
    <w:p/>
    <w:p/>
    <w:p/>
    <w:p/>
    <w:p/>
    <w:p/>
    <w:p>
      <w:pPr>
        <w:spacing w:line="480" w:lineRule="auto"/>
        <w:jc w:val="center"/>
        <w:rPr>
          <w:rFonts w:asciiTheme="minorEastAsia" w:hAnsiTheme="minorEastAsia" w:cstheme="minorEastAsia"/>
          <w:b/>
          <w:bCs/>
          <w:sz w:val="40"/>
          <w:szCs w:val="4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auto"/>
        <w:jc w:val="center"/>
        <w:rPr>
          <w:rFonts w:asciiTheme="minorEastAsia" w:hAnsiTheme="minorEastAsia" w:cstheme="minorEastAsia"/>
          <w:b/>
          <w:bCs/>
          <w:sz w:val="40"/>
          <w:szCs w:val="40"/>
        </w:rPr>
      </w:pPr>
      <w:r>
        <w:rPr>
          <w:rFonts w:hint="eastAsia" w:asciiTheme="minorEastAsia" w:hAnsiTheme="minorEastAsia" w:cstheme="minorEastAsia"/>
          <w:b/>
          <w:bCs/>
          <w:sz w:val="40"/>
          <w:szCs w:val="40"/>
        </w:rPr>
        <w:t>目   录</w:t>
      </w:r>
    </w:p>
    <w:p>
      <w:pPr>
        <w:spacing w:line="480" w:lineRule="auto"/>
        <w:rPr>
          <w:rFonts w:asciiTheme="minorEastAsia" w:hAnsiTheme="minorEastAsia" w:cstheme="minorEastAsia"/>
          <w:sz w:val="28"/>
          <w:szCs w:val="28"/>
        </w:rPr>
      </w:pPr>
    </w:p>
    <w:p>
      <w:pPr>
        <w:pStyle w:val="7"/>
        <w:tabs>
          <w:tab w:val="right" w:leader="dot" w:pos="8306"/>
        </w:tabs>
        <w:spacing w:line="480" w:lineRule="auto"/>
        <w:rPr>
          <w:rFonts w:asciiTheme="minorEastAsia" w:hAnsiTheme="minorEastAsia" w:cstheme="minorEastAsia"/>
          <w:sz w:val="28"/>
          <w:szCs w:val="28"/>
        </w:rPr>
      </w:pPr>
      <w:r>
        <w:fldChar w:fldCharType="begin"/>
      </w:r>
      <w:r>
        <w:instrText xml:space="preserve"> HYPERLINK \l "_Toc24523" </w:instrText>
      </w:r>
      <w:r>
        <w:fldChar w:fldCharType="separate"/>
      </w:r>
      <w:r>
        <w:rPr>
          <w:rFonts w:hint="eastAsia"/>
          <w:b/>
          <w:bCs/>
          <w:sz w:val="32"/>
          <w:szCs w:val="32"/>
          <w:shd w:val="clear" w:color="auto" w:fill="FFFFFF"/>
        </w:rPr>
        <w:t>【政策速递】</w:t>
      </w:r>
      <w:r>
        <w:rPr>
          <w:rFonts w:hint="eastAsia"/>
          <w:b/>
          <w:bCs/>
          <w:sz w:val="32"/>
          <w:szCs w:val="32"/>
          <w:shd w:val="clear" w:color="auto" w:fill="FFFFFF"/>
        </w:rPr>
        <w:fldChar w:fldCharType="end"/>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TOC \o "1-1" \h \u </w:instrText>
      </w:r>
      <w:r>
        <w:rPr>
          <w:rFonts w:hint="eastAsia" w:asciiTheme="minorEastAsia" w:hAnsiTheme="minorEastAsia" w:cstheme="minorEastAsia"/>
          <w:sz w:val="28"/>
          <w:szCs w:val="28"/>
        </w:rPr>
        <w:fldChar w:fldCharType="separate"/>
      </w:r>
    </w:p>
    <w:p>
      <w:pPr>
        <w:pStyle w:val="7"/>
        <w:tabs>
          <w:tab w:val="right" w:leader="dot" w:pos="8306"/>
        </w:tabs>
        <w:spacing w:line="480" w:lineRule="auto"/>
        <w:rPr>
          <w:rFonts w:asciiTheme="minorEastAsia" w:hAnsiTheme="minorEastAsia" w:cstheme="minorEastAsia"/>
          <w:sz w:val="28"/>
          <w:szCs w:val="28"/>
        </w:rPr>
      </w:pPr>
      <w:r>
        <w:fldChar w:fldCharType="begin"/>
      </w:r>
      <w:r>
        <w:instrText xml:space="preserve"> HYPERLINK \l "_Toc10080" </w:instrText>
      </w:r>
      <w:r>
        <w:fldChar w:fldCharType="separate"/>
      </w:r>
      <w:r>
        <w:rPr>
          <w:rFonts w:hint="eastAsia" w:asciiTheme="minorEastAsia" w:hAnsiTheme="minorEastAsia" w:cstheme="minorEastAsia"/>
          <w:bCs/>
          <w:kern w:val="44"/>
          <w:sz w:val="28"/>
          <w:szCs w:val="28"/>
          <w:shd w:val="clear" w:color="auto" w:fill="FFFFFF"/>
        </w:rPr>
        <w:t>我国首个高等教育教学质量国家标准发布</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_Toc10080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7"/>
        <w:tabs>
          <w:tab w:val="right" w:leader="dot" w:pos="8306"/>
        </w:tabs>
        <w:spacing w:line="480" w:lineRule="auto"/>
        <w:rPr>
          <w:rFonts w:asciiTheme="minorEastAsia" w:hAnsiTheme="minorEastAsia" w:cstheme="minorEastAsia"/>
          <w:sz w:val="28"/>
          <w:szCs w:val="28"/>
        </w:rPr>
      </w:pPr>
      <w:r>
        <w:fldChar w:fldCharType="begin"/>
      </w:r>
      <w:r>
        <w:instrText xml:space="preserve"> HYPERLINK \l "_Toc32699" </w:instrText>
      </w:r>
      <w:r>
        <w:fldChar w:fldCharType="separate"/>
      </w:r>
      <w:r>
        <w:rPr>
          <w:rFonts w:hint="eastAsia" w:asciiTheme="minorEastAsia" w:hAnsiTheme="minorEastAsia" w:cstheme="minorEastAsia"/>
          <w:bCs/>
          <w:kern w:val="44"/>
          <w:sz w:val="28"/>
          <w:szCs w:val="28"/>
          <w:shd w:val="clear" w:color="auto" w:fill="FFFFFF"/>
        </w:rPr>
        <w:t>我国对新时代教师队伍建设作出顶层设计</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_Toc32699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7"/>
        <w:tabs>
          <w:tab w:val="right" w:leader="dot" w:pos="8306"/>
        </w:tabs>
        <w:spacing w:line="480" w:lineRule="auto"/>
      </w:pPr>
      <w:r>
        <w:fldChar w:fldCharType="begin"/>
      </w:r>
      <w:r>
        <w:instrText xml:space="preserve"> HYPERLINK \l "_Toc26396" </w:instrText>
      </w:r>
      <w:r>
        <w:fldChar w:fldCharType="separate"/>
      </w:r>
      <w:r>
        <w:rPr>
          <w:rFonts w:hint="eastAsia"/>
          <w:b/>
          <w:bCs/>
          <w:sz w:val="32"/>
          <w:szCs w:val="32"/>
          <w:shd w:val="clear" w:color="auto" w:fill="FFFFFF"/>
        </w:rPr>
        <w:t>【高教视点】</w:t>
      </w:r>
      <w:r>
        <w:rPr>
          <w:rFonts w:hint="eastAsia"/>
          <w:b/>
          <w:bCs/>
          <w:sz w:val="32"/>
          <w:szCs w:val="32"/>
          <w:shd w:val="clear" w:color="auto" w:fill="FFFFFF"/>
        </w:rPr>
        <w:fldChar w:fldCharType="end"/>
      </w:r>
    </w:p>
    <w:p>
      <w:pPr>
        <w:pStyle w:val="7"/>
        <w:tabs>
          <w:tab w:val="right" w:leader="dot" w:pos="8306"/>
        </w:tabs>
        <w:spacing w:line="480" w:lineRule="auto"/>
        <w:rPr>
          <w:rFonts w:asciiTheme="minorEastAsia" w:hAnsiTheme="minorEastAsia" w:cstheme="minorEastAsia"/>
          <w:sz w:val="28"/>
          <w:szCs w:val="28"/>
        </w:rPr>
      </w:pPr>
      <w:r>
        <w:fldChar w:fldCharType="begin"/>
      </w:r>
      <w:r>
        <w:instrText xml:space="preserve"> HYPERLINK \l "_Toc15760" </w:instrText>
      </w:r>
      <w:r>
        <w:fldChar w:fldCharType="separate"/>
      </w:r>
      <w:r>
        <w:rPr>
          <w:rFonts w:hint="eastAsia" w:asciiTheme="minorEastAsia" w:hAnsiTheme="minorEastAsia" w:cstheme="minorEastAsia"/>
          <w:bCs/>
          <w:kern w:val="44"/>
          <w:sz w:val="28"/>
          <w:szCs w:val="28"/>
          <w:shd w:val="clear" w:color="auto" w:fill="FFFFFF"/>
        </w:rPr>
        <w:t>产学研要从“紧密结合”向“深度融合”转变</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_Toc15760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7"/>
        <w:tabs>
          <w:tab w:val="right" w:leader="dot" w:pos="8306"/>
        </w:tabs>
        <w:spacing w:line="480" w:lineRule="auto"/>
        <w:rPr>
          <w:rFonts w:asciiTheme="minorEastAsia" w:hAnsiTheme="minorEastAsia" w:cstheme="minorEastAsia"/>
          <w:sz w:val="28"/>
          <w:szCs w:val="28"/>
        </w:rPr>
      </w:pPr>
      <w:r>
        <w:fldChar w:fldCharType="begin"/>
      </w:r>
      <w:r>
        <w:instrText xml:space="preserve"> HYPERLINK \l "_Toc23630" </w:instrText>
      </w:r>
      <w:r>
        <w:fldChar w:fldCharType="separate"/>
      </w:r>
      <w:r>
        <w:rPr>
          <w:rFonts w:hint="eastAsia" w:asciiTheme="minorEastAsia" w:hAnsiTheme="minorEastAsia" w:cstheme="minorEastAsia"/>
          <w:bCs/>
          <w:kern w:val="44"/>
          <w:sz w:val="28"/>
          <w:szCs w:val="28"/>
          <w:shd w:val="clear" w:color="auto" w:fill="FFFFFF"/>
        </w:rPr>
        <w:t>发挥新型教育智库作用 推进重大理论实践研究</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_Toc23630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7"/>
        <w:tabs>
          <w:tab w:val="right" w:leader="dot" w:pos="8306"/>
        </w:tabs>
        <w:spacing w:line="480" w:lineRule="auto"/>
      </w:pPr>
      <w:r>
        <w:fldChar w:fldCharType="begin"/>
      </w:r>
      <w:r>
        <w:instrText xml:space="preserve"> HYPERLINK \l "_Toc2360" </w:instrText>
      </w:r>
      <w:r>
        <w:fldChar w:fldCharType="separate"/>
      </w:r>
      <w:r>
        <w:rPr>
          <w:rFonts w:hint="eastAsia"/>
          <w:b/>
          <w:bCs/>
          <w:sz w:val="32"/>
          <w:szCs w:val="32"/>
          <w:shd w:val="clear" w:color="auto" w:fill="FFFFFF"/>
        </w:rPr>
        <w:t>【院校动态】</w:t>
      </w:r>
      <w:r>
        <w:rPr>
          <w:rFonts w:hint="eastAsia"/>
          <w:b/>
          <w:bCs/>
          <w:sz w:val="32"/>
          <w:szCs w:val="32"/>
          <w:shd w:val="clear" w:color="auto" w:fill="FFFFFF"/>
        </w:rPr>
        <w:fldChar w:fldCharType="end"/>
      </w:r>
    </w:p>
    <w:p>
      <w:pPr>
        <w:pStyle w:val="7"/>
        <w:tabs>
          <w:tab w:val="right" w:leader="dot" w:pos="8306"/>
        </w:tabs>
        <w:spacing w:line="480" w:lineRule="auto"/>
        <w:rPr>
          <w:rFonts w:asciiTheme="minorEastAsia" w:hAnsiTheme="minorEastAsia" w:cstheme="minorEastAsia"/>
          <w:sz w:val="28"/>
          <w:szCs w:val="28"/>
        </w:rPr>
      </w:pPr>
      <w:r>
        <w:fldChar w:fldCharType="begin"/>
      </w:r>
      <w:r>
        <w:instrText xml:space="preserve"> HYPERLINK \l "_Toc12431" </w:instrText>
      </w:r>
      <w:r>
        <w:fldChar w:fldCharType="separate"/>
      </w:r>
      <w:r>
        <w:rPr>
          <w:rFonts w:hint="eastAsia" w:asciiTheme="minorEastAsia" w:hAnsiTheme="minorEastAsia" w:cstheme="minorEastAsia"/>
          <w:bCs/>
          <w:kern w:val="44"/>
          <w:sz w:val="28"/>
          <w:szCs w:val="28"/>
          <w:shd w:val="clear" w:color="auto" w:fill="FFFFFF"/>
        </w:rPr>
        <w:t>开封大学实施“四大工程”培育六有大学生</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_Toc12431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7"/>
        <w:tabs>
          <w:tab w:val="right" w:leader="dot" w:pos="8306"/>
        </w:tabs>
        <w:spacing w:line="480" w:lineRule="auto"/>
        <w:rPr>
          <w:rFonts w:asciiTheme="minorEastAsia" w:hAnsiTheme="minorEastAsia" w:cstheme="minorEastAsia"/>
          <w:sz w:val="28"/>
          <w:szCs w:val="28"/>
        </w:rPr>
      </w:pPr>
      <w:r>
        <w:fldChar w:fldCharType="begin"/>
      </w:r>
      <w:r>
        <w:instrText xml:space="preserve"> HYPERLINK \l "_Toc14029" </w:instrText>
      </w:r>
      <w:r>
        <w:fldChar w:fldCharType="separate"/>
      </w:r>
      <w:r>
        <w:rPr>
          <w:rFonts w:hint="eastAsia" w:asciiTheme="minorEastAsia" w:hAnsiTheme="minorEastAsia" w:cstheme="minorEastAsia"/>
          <w:bCs/>
          <w:kern w:val="44"/>
          <w:sz w:val="28"/>
          <w:szCs w:val="28"/>
          <w:shd w:val="clear" w:color="auto" w:fill="FFFFFF"/>
        </w:rPr>
        <w:t>西安交通大学积极推进科研体制机制改革</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_Toc14029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7</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7"/>
        <w:tabs>
          <w:tab w:val="right" w:leader="dot" w:pos="8306"/>
        </w:tabs>
        <w:spacing w:line="480" w:lineRule="auto"/>
      </w:pPr>
      <w:r>
        <w:fldChar w:fldCharType="begin"/>
      </w:r>
      <w:r>
        <w:instrText xml:space="preserve"> HYPERLINK \l "_Toc6675" </w:instrText>
      </w:r>
      <w:r>
        <w:fldChar w:fldCharType="separate"/>
      </w:r>
      <w:r>
        <w:rPr>
          <w:rFonts w:hint="eastAsia"/>
          <w:b/>
          <w:bCs/>
          <w:sz w:val="32"/>
          <w:szCs w:val="32"/>
          <w:shd w:val="clear" w:color="auto" w:fill="FFFFFF"/>
        </w:rPr>
        <w:t>【海外来风】</w:t>
      </w:r>
      <w:r>
        <w:rPr>
          <w:rFonts w:hint="eastAsia"/>
          <w:b/>
          <w:bCs/>
          <w:sz w:val="32"/>
          <w:szCs w:val="32"/>
          <w:shd w:val="clear" w:color="auto" w:fill="FFFFFF"/>
        </w:rPr>
        <w:fldChar w:fldCharType="end"/>
      </w:r>
    </w:p>
    <w:p>
      <w:pPr>
        <w:pStyle w:val="7"/>
        <w:tabs>
          <w:tab w:val="right" w:leader="dot" w:pos="8306"/>
        </w:tabs>
        <w:spacing w:line="480" w:lineRule="auto"/>
        <w:rPr>
          <w:rFonts w:asciiTheme="minorEastAsia" w:hAnsiTheme="minorEastAsia" w:cstheme="minorEastAsia"/>
          <w:sz w:val="28"/>
          <w:szCs w:val="28"/>
        </w:rPr>
      </w:pPr>
      <w:r>
        <w:fldChar w:fldCharType="begin"/>
      </w:r>
      <w:r>
        <w:instrText xml:space="preserve"> HYPERLINK \l "_Toc7617" </w:instrText>
      </w:r>
      <w:r>
        <w:fldChar w:fldCharType="separate"/>
      </w:r>
      <w:r>
        <w:rPr>
          <w:rFonts w:hint="eastAsia" w:asciiTheme="minorEastAsia" w:hAnsiTheme="minorEastAsia" w:cstheme="minorEastAsia"/>
          <w:sz w:val="28"/>
          <w:szCs w:val="28"/>
          <w:shd w:val="clear" w:color="auto" w:fill="FFFFFF"/>
        </w:rPr>
        <w:t>经合组织发布报告聚焦课堂视频研究</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_Toc7617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7"/>
        <w:tabs>
          <w:tab w:val="right" w:leader="dot" w:pos="8306"/>
        </w:tabs>
        <w:spacing w:line="480" w:lineRule="auto"/>
        <w:rPr>
          <w:rFonts w:asciiTheme="minorEastAsia" w:hAnsiTheme="minorEastAsia" w:cstheme="minorEastAsia"/>
          <w:sz w:val="28"/>
          <w:szCs w:val="28"/>
        </w:rPr>
      </w:pPr>
      <w:r>
        <w:fldChar w:fldCharType="begin"/>
      </w:r>
      <w:r>
        <w:instrText xml:space="preserve"> HYPERLINK \l "_Toc13261" </w:instrText>
      </w:r>
      <w:r>
        <w:fldChar w:fldCharType="separate"/>
      </w:r>
      <w:r>
        <w:rPr>
          <w:rFonts w:hint="eastAsia" w:asciiTheme="minorEastAsia" w:hAnsiTheme="minorEastAsia" w:cstheme="minorEastAsia"/>
          <w:kern w:val="44"/>
          <w:sz w:val="28"/>
          <w:szCs w:val="28"/>
          <w:shd w:val="clear" w:color="auto" w:fill="FFFFFF"/>
        </w:rPr>
        <w:t>英国人工智能引爆科技巨头招聘狂潮</w:t>
      </w:r>
      <w:r>
        <w:rPr>
          <w:rFonts w:hint="eastAsia" w:asciiTheme="minorEastAsia" w:hAnsiTheme="minorEastAsia" w:cstheme="minorEastAsia"/>
          <w:kern w:val="44"/>
          <w:sz w:val="28"/>
          <w:szCs w:val="28"/>
          <w:shd w:val="clear" w:color="auto" w:fill="FFFFFF"/>
        </w:rPr>
        <w:fldChar w:fldCharType="end"/>
      </w:r>
      <w:r>
        <w:rPr>
          <w:rFonts w:hint="eastAsia" w:asciiTheme="minorEastAsia" w:hAnsiTheme="minorEastAsia" w:cstheme="minorEastAsia"/>
          <w:sz w:val="28"/>
          <w:szCs w:val="28"/>
        </w:rPr>
        <w:t xml:space="preserve"> </w:t>
      </w:r>
      <w:r>
        <w:fldChar w:fldCharType="begin"/>
      </w:r>
      <w:r>
        <w:instrText xml:space="preserve"> HYPERLINK \l "_Toc10528" </w:instrText>
      </w:r>
      <w:r>
        <w:fldChar w:fldCharType="separate"/>
      </w:r>
      <w:r>
        <w:rPr>
          <w:rFonts w:hint="eastAsia" w:asciiTheme="minorEastAsia" w:hAnsiTheme="minorEastAsia" w:cstheme="minorEastAsia"/>
          <w:kern w:val="44"/>
          <w:sz w:val="28"/>
          <w:szCs w:val="28"/>
          <w:shd w:val="clear" w:color="auto" w:fill="FFFFFF"/>
        </w:rPr>
        <w:t>高校科研人才流失严重</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_Toc10528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pStyle w:val="7"/>
        <w:tabs>
          <w:tab w:val="right" w:leader="dot" w:pos="8306"/>
        </w:tabs>
        <w:spacing w:line="480" w:lineRule="auto"/>
      </w:pPr>
      <w:r>
        <w:fldChar w:fldCharType="begin"/>
      </w:r>
      <w:r>
        <w:instrText xml:space="preserve"> HYPERLINK \l "_Toc17543" </w:instrText>
      </w:r>
      <w:r>
        <w:fldChar w:fldCharType="separate"/>
      </w:r>
      <w:r>
        <w:rPr>
          <w:rFonts w:hint="eastAsia"/>
          <w:b/>
          <w:bCs/>
          <w:sz w:val="32"/>
          <w:szCs w:val="32"/>
          <w:shd w:val="clear" w:color="auto" w:fill="FFFFFF"/>
        </w:rPr>
        <w:t>【经典导读】</w:t>
      </w:r>
      <w:r>
        <w:rPr>
          <w:rFonts w:hint="eastAsia"/>
          <w:b/>
          <w:bCs/>
          <w:sz w:val="32"/>
          <w:szCs w:val="32"/>
          <w:shd w:val="clear" w:color="auto" w:fill="FFFFFF"/>
        </w:rPr>
        <w:fldChar w:fldCharType="end"/>
      </w:r>
    </w:p>
    <w:p>
      <w:pPr>
        <w:pStyle w:val="7"/>
        <w:tabs>
          <w:tab w:val="right" w:leader="dot" w:pos="8306"/>
        </w:tabs>
        <w:spacing w:line="480" w:lineRule="auto"/>
        <w:rPr>
          <w:rFonts w:asciiTheme="minorEastAsia" w:hAnsiTheme="minorEastAsia" w:cstheme="minorEastAsia"/>
          <w:sz w:val="28"/>
          <w:szCs w:val="28"/>
        </w:rPr>
      </w:pPr>
      <w:r>
        <w:fldChar w:fldCharType="begin"/>
      </w:r>
      <w:r>
        <w:instrText xml:space="preserve"> HYPERLINK \l "_Toc6704" </w:instrText>
      </w:r>
      <w:r>
        <w:fldChar w:fldCharType="separate"/>
      </w:r>
      <w:r>
        <w:rPr>
          <w:rFonts w:hint="eastAsia" w:asciiTheme="minorEastAsia" w:hAnsiTheme="minorEastAsia" w:cstheme="minorEastAsia"/>
          <w:kern w:val="44"/>
          <w:sz w:val="28"/>
          <w:szCs w:val="28"/>
          <w:shd w:val="clear" w:color="auto" w:fill="FFFFFF"/>
        </w:rPr>
        <w:t>《高等教育新论——多学科的研究》</w:t>
      </w:r>
      <w:r>
        <w:rPr>
          <w:rFonts w:hint="eastAsia" w:asciiTheme="minorEastAsia" w:hAnsiTheme="minorEastAsia" w:cstheme="minorEastAsia"/>
          <w:sz w:val="28"/>
          <w:szCs w:val="28"/>
        </w:rPr>
        <w:tab/>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PAGEREF _Toc6704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fldChar w:fldCharType="end"/>
      </w:r>
    </w:p>
    <w:p>
      <w:pPr>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fldChar w:fldCharType="end"/>
      </w:r>
    </w:p>
    <w:p/>
    <w:p/>
    <w:p/>
    <w:p/>
    <w:p/>
    <w:p/>
    <w:p/>
    <w:p/>
    <w:p/>
    <w:p/>
    <w:p>
      <w:pPr>
        <w:rPr>
          <w:color w:val="4B4B4B"/>
          <w:sz w:val="36"/>
          <w:szCs w:val="36"/>
          <w:shd w:val="clear" w:color="auto" w:fill="FFFFFF"/>
        </w:rPr>
        <w:sectPr>
          <w:footerReference r:id="rId5" w:type="default"/>
          <w:pgSz w:w="11906" w:h="16838"/>
          <w:pgMar w:top="1440" w:right="1800" w:bottom="1440" w:left="1800" w:header="851" w:footer="992" w:gutter="0"/>
          <w:pgNumType w:start="1"/>
          <w:cols w:space="425" w:num="1"/>
          <w:docGrid w:type="lines" w:linePitch="312" w:charSpace="0"/>
        </w:sectPr>
      </w:pPr>
    </w:p>
    <w:p>
      <w:pPr>
        <w:rPr>
          <w:color w:val="4B4B4B"/>
          <w:sz w:val="36"/>
          <w:szCs w:val="36"/>
          <w:shd w:val="clear" w:color="auto" w:fill="FFFFFF"/>
        </w:rPr>
      </w:pPr>
      <w:r>
        <w:rPr>
          <w:color w:val="4B4B4B"/>
          <w:sz w:val="36"/>
          <w:szCs w:val="36"/>
          <w:shd w:val="clear" w:color="auto" w:fill="FFFFFF"/>
        </w:rPr>
        <w:t>【</w:t>
      </w:r>
      <w:r>
        <w:rPr>
          <w:b/>
          <w:bCs/>
          <w:color w:val="4B4B4B"/>
          <w:sz w:val="36"/>
          <w:szCs w:val="36"/>
          <w:shd w:val="clear" w:color="auto" w:fill="FFFFFF"/>
        </w:rPr>
        <w:t>政策速递</w:t>
      </w:r>
      <w:r>
        <w:rPr>
          <w:color w:val="4B4B4B"/>
          <w:sz w:val="36"/>
          <w:szCs w:val="36"/>
          <w:shd w:val="clear" w:color="auto" w:fill="FFFFFF"/>
        </w:rPr>
        <w:t>】</w:t>
      </w:r>
    </w:p>
    <w:p/>
    <w:p>
      <w:pPr>
        <w:pStyle w:val="2"/>
        <w:widowControl/>
        <w:jc w:val="center"/>
        <w:rPr>
          <w:rFonts w:hint="default"/>
        </w:rPr>
      </w:pPr>
      <w:bookmarkStart w:id="2" w:name="_Toc10080"/>
      <w:r>
        <w:rPr>
          <w:rFonts w:cs="宋体"/>
          <w:bCs/>
          <w:color w:val="333333"/>
          <w:sz w:val="36"/>
          <w:szCs w:val="36"/>
          <w:shd w:val="clear" w:color="auto" w:fill="FFFFFF"/>
        </w:rPr>
        <w:t>我国首个高等教育教学质量国家标准发布</w:t>
      </w:r>
      <w:bookmarkEnd w:id="2"/>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教育部日前发布《普通高等学校本科专业类教学质量国家标准》，这是我国高等教育领域首个教学质量国家标准，涵盖了普通高校本科专业目录中全部92个本科专业类、587个专业，涉及全国高校5.6万多个专业点。</w:t>
      </w:r>
    </w:p>
    <w:p>
      <w:pPr>
        <w:pStyle w:val="8"/>
        <w:widowControl/>
        <w:spacing w:beforeAutospacing="0" w:afterAutospacing="0" w:line="560" w:lineRule="exact"/>
        <w:jc w:val="both"/>
        <w:rPr>
          <w:rFonts w:ascii="宋体" w:hAnsi="宋体" w:eastAsia="宋体" w:cs="宋体"/>
          <w:color w:val="2D2D2D"/>
          <w:sz w:val="21"/>
          <w:szCs w:val="21"/>
        </w:rPr>
      </w:pPr>
      <w:r>
        <w:rPr>
          <w:rFonts w:hint="eastAsia" w:ascii="宋体" w:hAnsi="宋体" w:eastAsia="宋体" w:cs="宋体"/>
          <w:color w:val="2D2D2D"/>
          <w:sz w:val="21"/>
          <w:szCs w:val="21"/>
        </w:rPr>
        <w:t>　　“本科教育是高等教育的基础和根本，专业是人才培养的基本单元和基础平台。”在日前举行的新闻发布会上，教育部高等教育司司长吴岩介绍，提高高校人才培养能力，必须建立本科教学质量国家标准，实现政府以标准来管理、高校以标准来办学、社会以标准来监督，用标准加强引导、加强建设、加强监管。</w:t>
      </w:r>
    </w:p>
    <w:p>
      <w:pPr>
        <w:pStyle w:val="8"/>
        <w:widowControl/>
        <w:spacing w:beforeAutospacing="0" w:afterAutospacing="0" w:line="560" w:lineRule="exact"/>
        <w:jc w:val="both"/>
        <w:rPr>
          <w:rFonts w:ascii="宋体" w:hAnsi="宋体" w:eastAsia="宋体" w:cs="宋体"/>
          <w:color w:val="2D2D2D"/>
          <w:sz w:val="21"/>
          <w:szCs w:val="21"/>
        </w:rPr>
      </w:pPr>
      <w:r>
        <w:rPr>
          <w:rFonts w:hint="eastAsia" w:ascii="宋体" w:hAnsi="宋体" w:eastAsia="宋体" w:cs="宋体"/>
          <w:color w:val="2D2D2D"/>
          <w:sz w:val="21"/>
          <w:szCs w:val="21"/>
        </w:rPr>
        <w:t>　　据介绍，这一国家标准明确了各专业类的内涵、学科基础、人才培养方向等。对适用专业范围、培养目标、培养规格、师资队伍、教学条件、质量保障体系建设都作了明确要求，特别对师资队伍数量和结构、教师学科专业背景和水平、教师教学发展条件等提出定性和定量相结合的要求。同时，明确了各专业类的基本办学条件、基本信息资源、教学经费投入等要求。</w:t>
      </w:r>
    </w:p>
    <w:p>
      <w:pPr>
        <w:pStyle w:val="8"/>
        <w:widowControl/>
        <w:spacing w:beforeAutospacing="0" w:afterAutospacing="0" w:line="560" w:lineRule="exact"/>
        <w:ind w:firstLine="420"/>
        <w:jc w:val="both"/>
        <w:rPr>
          <w:rFonts w:ascii="宋体" w:hAnsi="宋体" w:eastAsia="宋体" w:cs="宋体"/>
          <w:color w:val="2D2D2D"/>
          <w:sz w:val="21"/>
          <w:szCs w:val="21"/>
        </w:rPr>
      </w:pPr>
      <w:r>
        <w:rPr>
          <w:rFonts w:hint="eastAsia" w:ascii="宋体" w:hAnsi="宋体" w:eastAsia="宋体" w:cs="宋体"/>
          <w:color w:val="2D2D2D"/>
          <w:sz w:val="21"/>
          <w:szCs w:val="21"/>
        </w:rPr>
        <w:t>下一步，教育部将成立2018至2022年教育高等学校教学指导委员会，开展标准的宣传、解读、推广工作。标准发布后，各地、各相关行业部门要据此研究制定人才评价标准；各高校要修订人才培养方案，培养多样化、高质量人才。此外，教育部将把标准的实施与“一流本科、一流专业、一流人才”建设紧密结合，对各高校专业办学质量和水平进行监测认证，适时公布“成绩单”。</w:t>
      </w:r>
    </w:p>
    <w:p>
      <w:pPr>
        <w:pStyle w:val="8"/>
        <w:widowControl/>
        <w:spacing w:beforeAutospacing="0" w:afterAutospacing="0" w:line="560" w:lineRule="exact"/>
        <w:ind w:firstLine="420"/>
        <w:jc w:val="both"/>
        <w:rPr>
          <w:rFonts w:ascii="宋体" w:hAnsi="宋体" w:eastAsia="宋体" w:cs="宋体"/>
          <w:color w:val="2D2D2D"/>
          <w:sz w:val="21"/>
          <w:szCs w:val="21"/>
        </w:rPr>
      </w:pPr>
      <w:r>
        <w:rPr>
          <w:rFonts w:hint="eastAsia" w:ascii="宋体" w:hAnsi="宋体" w:eastAsia="宋体" w:cs="宋体"/>
          <w:color w:val="2D2D2D"/>
          <w:sz w:val="21"/>
          <w:szCs w:val="21"/>
        </w:rPr>
        <w:t>（来源：教育部门户网站，2018年01月31日）</w:t>
      </w:r>
    </w:p>
    <w:p>
      <w:pPr>
        <w:pStyle w:val="8"/>
        <w:widowControl/>
        <w:spacing w:beforeAutospacing="0" w:afterAutospacing="0" w:line="560" w:lineRule="exact"/>
        <w:ind w:firstLine="630" w:firstLineChars="300"/>
        <w:jc w:val="both"/>
        <w:rPr>
          <w:rFonts w:ascii="宋体" w:hAnsi="宋体" w:eastAsia="宋体" w:cs="宋体"/>
          <w:color w:val="2D2D2D"/>
          <w:sz w:val="21"/>
          <w:szCs w:val="21"/>
        </w:rPr>
      </w:pPr>
      <w:r>
        <w:rPr>
          <w:rFonts w:hint="eastAsia" w:ascii="宋体" w:hAnsi="宋体" w:eastAsia="宋体" w:cs="宋体"/>
          <w:color w:val="2D2D2D"/>
          <w:sz w:val="21"/>
          <w:szCs w:val="21"/>
        </w:rPr>
        <w:t>http://www.moe.gov.cn/jyb_xwfb/xw_fbh/moe_2069/xwfbh_2018n/xwfb_20180130/mtbd/201801/t20180131_326074.html</w:t>
      </w:r>
    </w:p>
    <w:p>
      <w:pPr>
        <w:spacing w:line="560" w:lineRule="exact"/>
        <w:rPr>
          <w:rFonts w:ascii="宋体" w:hAnsi="宋体" w:eastAsia="宋体" w:cs="宋体"/>
          <w:color w:val="2D2D2D"/>
          <w:kern w:val="0"/>
          <w:szCs w:val="21"/>
        </w:rPr>
      </w:pPr>
    </w:p>
    <w:p>
      <w:pPr>
        <w:pStyle w:val="2"/>
        <w:widowControl/>
        <w:jc w:val="center"/>
        <w:rPr>
          <w:rFonts w:hint="default" w:cs="宋体"/>
          <w:bCs/>
          <w:color w:val="333333"/>
          <w:sz w:val="36"/>
          <w:szCs w:val="36"/>
          <w:shd w:val="clear" w:color="auto" w:fill="FFFFFF"/>
        </w:rPr>
      </w:pPr>
      <w:bookmarkStart w:id="3" w:name="_Toc32699"/>
      <w:bookmarkStart w:id="4" w:name="_Toc26396"/>
      <w:bookmarkStart w:id="5" w:name="_Toc9689"/>
      <w:r>
        <w:rPr>
          <w:rFonts w:cs="宋体"/>
          <w:bCs/>
          <w:color w:val="333333"/>
          <w:sz w:val="36"/>
          <w:szCs w:val="36"/>
          <w:shd w:val="clear" w:color="auto" w:fill="FFFFFF"/>
        </w:rPr>
        <w:t>我国对新时代教师队伍建设作出顶层设计</w:t>
      </w:r>
      <w:bookmarkEnd w:id="3"/>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日前，中共中央、国务院印发了《关于全面深化新时代教师队伍建设改革的意见》，对新时代教师队伍建设作出顶层设计。</w:t>
      </w:r>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意见》明确了新时代教师队伍建设的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《意见》围绕全面加强师德师风建设，不断提升教师专业素质能力，深化教师管理综合改革，不断提高教师地位待遇，确保政策举措落地见效等方面提出了具体举措。</w:t>
      </w:r>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（来源：新华社，2017年01月31日）</w:t>
      </w:r>
    </w:p>
    <w:p>
      <w:pPr>
        <w:pStyle w:val="8"/>
        <w:widowControl/>
        <w:spacing w:beforeAutospacing="0" w:afterAutospacing="0" w:line="560" w:lineRule="exact"/>
        <w:jc w:val="both"/>
        <w:rPr>
          <w:rFonts w:ascii="宋体" w:hAnsi="宋体" w:eastAsia="宋体" w:cs="宋体"/>
          <w:color w:val="2D2D2D"/>
          <w:sz w:val="21"/>
          <w:szCs w:val="21"/>
        </w:rPr>
      </w:pPr>
      <w:r>
        <w:rPr>
          <w:rFonts w:hint="eastAsia" w:ascii="宋体" w:hAnsi="宋体" w:eastAsia="宋体" w:cs="宋体"/>
          <w:color w:val="2D2D2D"/>
          <w:sz w:val="21"/>
          <w:szCs w:val="21"/>
        </w:rPr>
        <w:t xml:space="preserve">     http://www.gov.cn/zhengce/2018-01/31/content_5262659.htm</w:t>
      </w:r>
    </w:p>
    <w:p>
      <w:pPr>
        <w:pStyle w:val="2"/>
        <w:widowControl/>
        <w:spacing w:beforeAutospacing="0" w:afterLines="100" w:afterAutospacing="0" w:line="480" w:lineRule="atLeast"/>
        <w:jc w:val="both"/>
        <w:rPr>
          <w:rFonts w:hint="default"/>
          <w:color w:val="4B4B4B"/>
          <w:sz w:val="36"/>
          <w:szCs w:val="36"/>
          <w:shd w:val="clear" w:color="auto" w:fill="FFFFFF"/>
        </w:rPr>
      </w:pPr>
    </w:p>
    <w:p>
      <w:pPr>
        <w:pStyle w:val="2"/>
        <w:widowControl/>
        <w:spacing w:beforeAutospacing="0" w:afterLines="100" w:afterAutospacing="0" w:line="480" w:lineRule="atLeast"/>
        <w:jc w:val="both"/>
        <w:rPr>
          <w:rFonts w:hint="default"/>
          <w:color w:val="4B4B4B"/>
          <w:sz w:val="36"/>
          <w:szCs w:val="36"/>
          <w:shd w:val="clear" w:color="auto" w:fill="FFFFFF"/>
        </w:rPr>
      </w:pPr>
    </w:p>
    <w:p>
      <w:pPr>
        <w:pStyle w:val="2"/>
        <w:widowControl/>
        <w:spacing w:beforeAutospacing="0" w:afterLines="100" w:afterAutospacing="0" w:line="480" w:lineRule="atLeast"/>
        <w:jc w:val="both"/>
        <w:rPr>
          <w:rFonts w:hint="default"/>
          <w:color w:val="4B4B4B"/>
          <w:sz w:val="36"/>
          <w:szCs w:val="36"/>
          <w:shd w:val="clear" w:color="auto" w:fill="FFFFFF"/>
        </w:rPr>
      </w:pPr>
    </w:p>
    <w:p>
      <w:pPr>
        <w:rPr>
          <w:color w:val="4B4B4B"/>
          <w:sz w:val="36"/>
          <w:szCs w:val="36"/>
          <w:shd w:val="clear" w:color="auto" w:fill="FFFFFF"/>
        </w:rPr>
      </w:pPr>
    </w:p>
    <w:p>
      <w:pPr>
        <w:rPr>
          <w:color w:val="4B4B4B"/>
          <w:sz w:val="36"/>
          <w:szCs w:val="36"/>
          <w:shd w:val="clear" w:color="auto" w:fill="FFFFFF"/>
        </w:rPr>
      </w:pPr>
    </w:p>
    <w:p>
      <w:pPr>
        <w:rPr>
          <w:color w:val="4B4B4B"/>
          <w:sz w:val="36"/>
          <w:szCs w:val="36"/>
          <w:shd w:val="clear" w:color="auto" w:fill="FFFFFF"/>
        </w:rPr>
      </w:pPr>
    </w:p>
    <w:p>
      <w:pPr>
        <w:widowControl/>
        <w:spacing w:afterLines="100" w:line="480" w:lineRule="atLeast"/>
        <w:rPr>
          <w:color w:val="4B4B4B"/>
          <w:sz w:val="36"/>
          <w:szCs w:val="36"/>
          <w:shd w:val="clear" w:color="auto" w:fill="FFFFFF"/>
        </w:rPr>
      </w:pPr>
      <w:r>
        <w:rPr>
          <w:color w:val="4B4B4B"/>
          <w:sz w:val="36"/>
          <w:szCs w:val="36"/>
          <w:shd w:val="clear" w:color="auto" w:fill="FFFFFF"/>
        </w:rPr>
        <w:t>【</w:t>
      </w:r>
      <w:r>
        <w:rPr>
          <w:b/>
          <w:bCs/>
          <w:color w:val="4B4B4B"/>
          <w:sz w:val="36"/>
          <w:szCs w:val="36"/>
          <w:shd w:val="clear" w:color="auto" w:fill="FFFFFF"/>
        </w:rPr>
        <w:t>高教视点</w:t>
      </w:r>
      <w:r>
        <w:rPr>
          <w:color w:val="4B4B4B"/>
          <w:sz w:val="36"/>
          <w:szCs w:val="36"/>
          <w:shd w:val="clear" w:color="auto" w:fill="FFFFFF"/>
        </w:rPr>
        <w:t>】</w:t>
      </w:r>
      <w:bookmarkEnd w:id="4"/>
      <w:bookmarkEnd w:id="5"/>
    </w:p>
    <w:p>
      <w:pPr>
        <w:pStyle w:val="2"/>
        <w:widowControl/>
        <w:jc w:val="center"/>
        <w:rPr>
          <w:rFonts w:hint="default" w:cs="宋体"/>
          <w:bCs/>
          <w:color w:val="333333"/>
          <w:sz w:val="36"/>
          <w:szCs w:val="36"/>
          <w:shd w:val="clear" w:color="auto" w:fill="FFFFFF"/>
        </w:rPr>
      </w:pPr>
      <w:r>
        <w:t xml:space="preserve"> </w:t>
      </w:r>
      <w:bookmarkStart w:id="6" w:name="_Toc15760"/>
      <w:r>
        <w:rPr>
          <w:rFonts w:cs="宋体"/>
          <w:bCs/>
          <w:color w:val="333333"/>
          <w:sz w:val="36"/>
          <w:szCs w:val="36"/>
          <w:shd w:val="clear" w:color="auto" w:fill="FFFFFF"/>
        </w:rPr>
        <w:t>产学研要从“紧密结合”向“深度融合”转变</w:t>
      </w:r>
      <w:bookmarkEnd w:id="6"/>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中共十九大报告和《政府工作报告》都提出要促进高校、科研院所、企业的深度融合，这是今后一个很重要的工作方向。过去我们讲‘紧密结合’，现在要讲‘深度融合’，这说明高校、科研院所、企业在紧密结合方面已经取得了一些成果，但需要进一步向融合发展推进。”3月10日上午科技部部长万钢在十三届全国人大一次会议举行的记者会上说。</w:t>
      </w:r>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据万钢介绍，目前我国科技成果转化技术市场规模已经跃升到1.3万亿，一些大的、特别是基础前沿的成果也逐步转化到实践当中，上亿的项目、几千万的项目已经开始出现。值得关注的是，参与技术市场交易的主体，从过去企业占主导向高校院所转化数量快速增长转变。据科技部统计，近两年，每年都增长20%以上。</w:t>
      </w:r>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在这场以“加快建设创新型国家”为主题的记者会上，产学研融合、创新激励、“双创”无一例外成为热点话题。</w:t>
      </w:r>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万钢表示，促进产学研深度融合，首先应建立以企业为主体、以产业引领前沿技术和关键共性技术为导向，聚焦产业上下游的企业、高校、科研院所的能力，通过共商、共建、共享的办法，加大中小企业协同。</w:t>
      </w:r>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国家技术创新中心这种新模式，旨在当未来要向产业引领方向发展时，能更多地把高校、科研院所基础研究成果转化为技术和产品。”万钢说，同时还要加强技术转移体系建设，发挥大型企业、高校、科研院所在专业领域的资源优势、市场优势，促进产学研深度融合和大中小企业融通创新，完善高校、科研院所、企业与创业者的合作机制，继续建设好专业化众创空间，主动融入国际创新创业的大局。</w:t>
      </w:r>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万钢透露，下一步将继续推动现有科技创新激励政策的落实，并出台包括税收优惠政策在内的更多配套激励政策。“比如高校科研院所兼职的制度规范，怎样保证承担重大项目的科研人员基本收入稳定增长、绩效收益合理增长，并得到成果转化的激励奖励，实现三者最优化的灵活薪酬制度?出台政策后，还需要进一步统筹协调。”万钢说，未来还将推行人才分类评价制度，解决类似医生“评职称还需要写论文”的问题，目前科技部已相继完成加强科研诚信建设的政策性文件，以及深化项目评审、人才评价、机构评估改革的文件。</w:t>
      </w:r>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（来源：中国教育新闻网，2018年03月10日）</w:t>
      </w:r>
    </w:p>
    <w:p>
      <w:pPr>
        <w:pStyle w:val="8"/>
        <w:widowControl/>
        <w:spacing w:beforeAutospacing="0" w:afterAutospacing="0" w:line="560" w:lineRule="exact"/>
        <w:ind w:firstLine="480" w:firstLineChars="200"/>
        <w:jc w:val="both"/>
        <w:rPr>
          <w:rFonts w:ascii="宋体" w:hAnsi="宋体" w:eastAsia="宋体" w:cs="宋体"/>
          <w:color w:val="2D2D2D"/>
          <w:sz w:val="21"/>
          <w:szCs w:val="21"/>
        </w:rPr>
      </w:pPr>
      <w:r>
        <w:fldChar w:fldCharType="begin"/>
      </w:r>
      <w:r>
        <w:instrText xml:space="preserve"> HYPERLINK "http://www.jyb.cn/cj/2018lhgj/201803/t20180310_1017336.html" </w:instrText>
      </w:r>
      <w:r>
        <w:fldChar w:fldCharType="separate"/>
      </w:r>
      <w:r>
        <w:rPr>
          <w:rStyle w:val="13"/>
          <w:rFonts w:hint="eastAsia" w:ascii="宋体" w:hAnsi="宋体" w:eastAsia="宋体" w:cs="宋体"/>
          <w:color w:val="2D2D2D"/>
          <w:sz w:val="21"/>
          <w:szCs w:val="21"/>
        </w:rPr>
        <w:t>http://www.jyb.cn/cj/2018lhgj/201803/t20180310_1017336.html</w:t>
      </w:r>
      <w:r>
        <w:rPr>
          <w:rStyle w:val="13"/>
          <w:rFonts w:hint="eastAsia" w:ascii="宋体" w:hAnsi="宋体" w:eastAsia="宋体" w:cs="宋体"/>
          <w:color w:val="2D2D2D"/>
          <w:sz w:val="21"/>
          <w:szCs w:val="21"/>
        </w:rPr>
        <w:fldChar w:fldCharType="end"/>
      </w:r>
    </w:p>
    <w:p>
      <w:pPr>
        <w:pStyle w:val="8"/>
        <w:widowControl/>
        <w:spacing w:beforeAutospacing="0" w:afterAutospacing="0" w:line="560" w:lineRule="exact"/>
        <w:jc w:val="both"/>
        <w:rPr>
          <w:rFonts w:ascii="宋体" w:hAnsi="宋体" w:eastAsia="宋体" w:cs="宋体"/>
          <w:color w:val="2D2D2D"/>
          <w:sz w:val="21"/>
          <w:szCs w:val="21"/>
        </w:rPr>
      </w:pPr>
    </w:p>
    <w:p>
      <w:pPr>
        <w:pStyle w:val="15"/>
        <w:widowControl/>
        <w:spacing w:beforeLines="100" w:afterLines="100"/>
        <w:outlineLvl w:val="0"/>
        <w:rPr>
          <w:rFonts w:ascii="宋体" w:eastAsia="宋体" w:cs="宋体"/>
          <w:color w:val="2D2D2D"/>
          <w:sz w:val="21"/>
          <w:szCs w:val="21"/>
        </w:rPr>
      </w:pPr>
      <w:r>
        <w:rPr>
          <w:rFonts w:hint="eastAsia" w:ascii="宋体" w:eastAsia="宋体" w:cs="宋体"/>
          <w:b/>
          <w:bCs/>
          <w:kern w:val="44"/>
          <w:sz w:val="36"/>
          <w:szCs w:val="36"/>
          <w:shd w:val="clear" w:color="auto" w:fill="FFFFFF"/>
        </w:rPr>
        <w:t xml:space="preserve"> </w:t>
      </w:r>
      <w:bookmarkStart w:id="7" w:name="_Toc23630"/>
      <w:r>
        <w:rPr>
          <w:rFonts w:hint="eastAsia" w:ascii="宋体" w:eastAsia="宋体" w:cs="宋体"/>
          <w:b/>
          <w:bCs/>
          <w:kern w:val="44"/>
          <w:sz w:val="36"/>
          <w:szCs w:val="36"/>
          <w:shd w:val="clear" w:color="auto" w:fill="FFFFFF"/>
        </w:rPr>
        <w:t>发挥新型教育智库作用 推进重大理论实践研究</w:t>
      </w:r>
      <w:bookmarkEnd w:id="7"/>
    </w:p>
    <w:p>
      <w:pPr>
        <w:pStyle w:val="15"/>
        <w:widowControl/>
        <w:spacing w:beforeLines="100"/>
        <w:ind w:firstLine="420" w:firstLineChars="200"/>
        <w:jc w:val="both"/>
        <w:rPr>
          <w:rFonts w:ascii="宋体" w:eastAsia="宋体" w:cs="宋体"/>
          <w:color w:val="2D2D2D"/>
          <w:sz w:val="21"/>
          <w:szCs w:val="21"/>
        </w:rPr>
      </w:pPr>
      <w:r>
        <w:rPr>
          <w:rFonts w:hint="eastAsia" w:ascii="宋体" w:eastAsia="宋体" w:cs="宋体"/>
          <w:color w:val="2D2D2D"/>
          <w:sz w:val="21"/>
          <w:szCs w:val="21"/>
        </w:rPr>
        <w:t>“加强中国特色新型智库建设”是党的十九大作出的战略部署和明确要求，也是完善高等教育宏观管理、提升高等教育决策水平、实现高等教育治理体系治理能力现代化的关键任务和迫切要求。</w:t>
      </w:r>
      <w:r>
        <w:rPr>
          <w:rFonts w:hint="eastAsia" w:ascii="宋体" w:eastAsia="宋体" w:cs="宋体"/>
          <w:color w:val="2D2D2D"/>
          <w:sz w:val="21"/>
          <w:szCs w:val="21"/>
        </w:rPr>
        <w:br w:type="textWrapping"/>
      </w:r>
      <w:r>
        <w:rPr>
          <w:rFonts w:hint="eastAsia" w:ascii="宋体" w:eastAsia="宋体" w:cs="宋体"/>
          <w:color w:val="2D2D2D"/>
          <w:sz w:val="21"/>
          <w:szCs w:val="21"/>
        </w:rPr>
        <w:t>　　党的十九大胜利召开之后，教育部党组就贯彻落实工作做出了全面部署、整体设计和统筹安排，拟在教育部层面部署“攻坚行动”，在机关司局单位层面实施“争先计划”，在地方和高校层面实施“重点工作指南”。</w:t>
      </w:r>
      <w:r>
        <w:rPr>
          <w:rFonts w:hint="eastAsia" w:ascii="宋体" w:eastAsia="宋体" w:cs="宋体"/>
          <w:color w:val="2D2D2D"/>
          <w:sz w:val="21"/>
          <w:szCs w:val="21"/>
        </w:rPr>
        <w:br w:type="textWrapping"/>
      </w:r>
      <w:r>
        <w:rPr>
          <w:rFonts w:hint="eastAsia" w:ascii="宋体" w:eastAsia="宋体" w:cs="宋体"/>
          <w:color w:val="2D2D2D"/>
          <w:sz w:val="21"/>
          <w:szCs w:val="21"/>
        </w:rPr>
        <w:t>　　由中国高等教育学会继续实施的“中国高等教育改革发展重大理论实践问题研究”初步确定列入教育部“攻坚行动”，说明大家对推进高等教育改革发展全局性、关键性、前瞻性、迫切性重大问题的研究，具有广泛共识。</w:t>
      </w:r>
      <w:r>
        <w:rPr>
          <w:rFonts w:hint="eastAsia" w:ascii="宋体" w:eastAsia="宋体" w:cs="宋体"/>
          <w:color w:val="2D2D2D"/>
          <w:sz w:val="21"/>
          <w:szCs w:val="21"/>
        </w:rPr>
        <w:br w:type="textWrapping"/>
      </w:r>
      <w:r>
        <w:rPr>
          <w:rFonts w:hint="eastAsia" w:ascii="宋体" w:eastAsia="宋体" w:cs="宋体"/>
          <w:color w:val="2D2D2D"/>
          <w:sz w:val="21"/>
          <w:szCs w:val="21"/>
        </w:rPr>
        <w:t>　　为了增强理论创新能力、资政服务能力、引领改革实践能力和国际对话能力，切实做好资政、资教、咨询服务工作，我们始终将对新型教育智库“新在哪里”的思考，融入到“中国高等教育改革发展重大理论实践问题研究”的顶层设计和项目推进之中，初步提炼出“四个新”“四个真”的基本要求。</w:t>
      </w:r>
      <w:r>
        <w:rPr>
          <w:rFonts w:hint="eastAsia" w:ascii="宋体" w:eastAsia="宋体" w:cs="宋体"/>
          <w:color w:val="2D2D2D"/>
          <w:sz w:val="21"/>
          <w:szCs w:val="21"/>
        </w:rPr>
        <w:br w:type="textWrapping"/>
      </w:r>
      <w:r>
        <w:rPr>
          <w:rFonts w:hint="eastAsia" w:ascii="宋体" w:eastAsia="宋体" w:cs="宋体"/>
          <w:color w:val="2D2D2D"/>
          <w:sz w:val="21"/>
          <w:szCs w:val="21"/>
        </w:rPr>
        <w:t>　　一是提倡新型教育智库建设的新境界，坚持“政治导向”，推动“重大理论实践问题研究”有“真创新”。这就要求课题研究深刻把握马克思主义的立场、观点和方法，切实保证研究方向不跑偏。要求课题研究真正做到总结好中国经验，真正做到反映教育规律，真正做到服务于教育改革创新。</w:t>
      </w:r>
      <w:r>
        <w:rPr>
          <w:rFonts w:hint="eastAsia" w:ascii="宋体" w:eastAsia="宋体" w:cs="宋体"/>
          <w:color w:val="2D2D2D"/>
          <w:sz w:val="21"/>
          <w:szCs w:val="21"/>
        </w:rPr>
        <w:br w:type="textWrapping"/>
      </w:r>
      <w:r>
        <w:rPr>
          <w:rFonts w:hint="eastAsia" w:ascii="宋体" w:eastAsia="宋体" w:cs="宋体"/>
          <w:color w:val="2D2D2D"/>
          <w:sz w:val="21"/>
          <w:szCs w:val="21"/>
        </w:rPr>
        <w:t>　　二是强调新型教育智库建设的新思维，突出“问题导向”，促进“重大理论实践问题研究”抓“真问题”。这就要求课题研究切实联系“双一流”建设和新时代高等教育内涵式发展的新要求，切实保证研究路径不走弯路。要求课题研究真正做到立足改革实践，真正做到抓准突出问题，真正做到聚焦关键环节。</w:t>
      </w:r>
      <w:r>
        <w:rPr>
          <w:rFonts w:hint="eastAsia" w:ascii="宋体" w:eastAsia="宋体" w:cs="宋体"/>
          <w:color w:val="2D2D2D"/>
          <w:sz w:val="21"/>
          <w:szCs w:val="21"/>
        </w:rPr>
        <w:br w:type="textWrapping"/>
      </w:r>
      <w:r>
        <w:rPr>
          <w:rFonts w:hint="eastAsia" w:ascii="宋体" w:eastAsia="宋体" w:cs="宋体"/>
          <w:color w:val="2D2D2D"/>
          <w:sz w:val="21"/>
          <w:szCs w:val="21"/>
        </w:rPr>
        <w:t>　　三是探索新型教育智库建设的新模式，注意“组织导向”，引领“重大理论实践问题研究”做“真研究”。这就要求课题研究做好扎扎实实的实证研究及案例库、数据库建设，推动新型教育智库的可持续发展，切实保证研究程序不走过场。要求课题研究真正集合学会系统组织优势推进联合调查研究；真正搭建起团队攻关的大平台，形成实证研究合力；真正广泛收集实践经验，共享规律性认知成果。提倡探索边实践、边研究、边应用、边总结、边宣传、边推广的研究模式，而不是从书本到书本、讲讲学术观点、搞搞文献综述、写写书面文章、编编理论著述。</w:t>
      </w:r>
      <w:r>
        <w:rPr>
          <w:rFonts w:hint="eastAsia" w:ascii="宋体" w:eastAsia="宋体" w:cs="宋体"/>
          <w:color w:val="2D2D2D"/>
          <w:sz w:val="21"/>
          <w:szCs w:val="21"/>
        </w:rPr>
        <w:br w:type="textWrapping"/>
      </w:r>
      <w:r>
        <w:rPr>
          <w:rFonts w:hint="eastAsia" w:ascii="宋体" w:eastAsia="宋体" w:cs="宋体"/>
          <w:color w:val="2D2D2D"/>
          <w:sz w:val="21"/>
          <w:szCs w:val="21"/>
        </w:rPr>
        <w:t>　　四是做出新型教育智库建设的新贡献，抓好“成果导向”，确保“重大理论实践问题研究”成果“真管用”。这就要求课题研究切实满足科学决策、实践总结、理论创新等多方面需求，做好资政、资教、咨询服务，切实保证研究成果的推广应用不走形式。要求课题研究真正提供有实证支撑、有规律可循，有方法可依、有路径可行的重要咨询建议；真正做到不断提出具有操作性、实用性、专业性的咨询建议，研究成果要强化能够转化为政府决策的咨询建议，形成政策法规指导工作；真正让研究成果及时应用于高等教育改革实践，及时产生应用价值和社会效益。</w:t>
      </w:r>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（来源：《中国高等教育》2018年第02期）</w:t>
      </w:r>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r>
        <w:rPr>
          <w:rFonts w:hint="eastAsia" w:ascii="宋体" w:hAnsi="宋体" w:eastAsia="宋体" w:cs="宋体"/>
          <w:color w:val="2D2D2D"/>
          <w:sz w:val="21"/>
          <w:szCs w:val="21"/>
        </w:rPr>
        <w:t>http://www.hie.edu.cn/perspective_12580/20180125/t20180125_993736.shtml</w:t>
      </w:r>
    </w:p>
    <w:p>
      <w:pPr>
        <w:pStyle w:val="8"/>
        <w:widowControl/>
        <w:spacing w:beforeAutospacing="0" w:afterAutospacing="0" w:line="560" w:lineRule="exact"/>
        <w:ind w:firstLine="420" w:firstLineChars="200"/>
        <w:jc w:val="both"/>
        <w:rPr>
          <w:rFonts w:ascii="宋体" w:hAnsi="宋体" w:eastAsia="宋体" w:cs="宋体"/>
          <w:color w:val="2D2D2D"/>
          <w:sz w:val="21"/>
          <w:szCs w:val="21"/>
        </w:rPr>
      </w:pPr>
    </w:p>
    <w:p>
      <w:pPr>
        <w:widowControl/>
        <w:spacing w:afterLines="100" w:line="480" w:lineRule="atLeast"/>
        <w:rPr>
          <w:color w:val="4B4B4B"/>
          <w:sz w:val="36"/>
          <w:szCs w:val="36"/>
          <w:shd w:val="clear" w:color="auto" w:fill="FFFFFF"/>
        </w:rPr>
      </w:pPr>
      <w:r>
        <w:rPr>
          <w:color w:val="4B4B4B"/>
          <w:sz w:val="36"/>
          <w:szCs w:val="36"/>
          <w:shd w:val="clear" w:color="auto" w:fill="FFFFFF"/>
        </w:rPr>
        <w:t>【</w:t>
      </w:r>
      <w:r>
        <w:rPr>
          <w:rFonts w:hint="eastAsia"/>
          <w:b/>
          <w:bCs/>
          <w:color w:val="4B4B4B"/>
          <w:sz w:val="36"/>
          <w:szCs w:val="36"/>
          <w:shd w:val="clear" w:color="auto" w:fill="FFFFFF"/>
        </w:rPr>
        <w:t>院校动态</w:t>
      </w:r>
      <w:r>
        <w:rPr>
          <w:color w:val="4B4B4B"/>
          <w:sz w:val="36"/>
          <w:szCs w:val="36"/>
          <w:shd w:val="clear" w:color="auto" w:fill="FFFFFF"/>
        </w:rPr>
        <w:t>】</w:t>
      </w:r>
    </w:p>
    <w:p>
      <w:pPr>
        <w:widowControl/>
        <w:spacing w:afterLines="100" w:line="390" w:lineRule="atLeast"/>
        <w:jc w:val="center"/>
        <w:outlineLvl w:val="0"/>
        <w:rPr>
          <w:rFonts w:ascii="宋体" w:hAnsi="宋体" w:eastAsia="宋体" w:cs="宋体"/>
          <w:b/>
          <w:bCs/>
          <w:color w:val="333333"/>
          <w:kern w:val="44"/>
          <w:sz w:val="36"/>
          <w:szCs w:val="36"/>
          <w:shd w:val="clear" w:color="auto" w:fill="FFFFFF"/>
        </w:rPr>
      </w:pPr>
      <w:bookmarkStart w:id="8" w:name="_Toc12431"/>
      <w:r>
        <w:rPr>
          <w:rFonts w:hint="eastAsia" w:ascii="宋体" w:hAnsi="宋体" w:eastAsia="宋体" w:cs="宋体"/>
          <w:b/>
          <w:bCs/>
          <w:color w:val="333333"/>
          <w:kern w:val="44"/>
          <w:sz w:val="36"/>
          <w:szCs w:val="36"/>
          <w:shd w:val="clear" w:color="auto" w:fill="FFFFFF"/>
        </w:rPr>
        <w:t>开封大学实施“四大工程”培育六有大学生</w:t>
      </w:r>
      <w:bookmarkEnd w:id="8"/>
    </w:p>
    <w:p>
      <w:pPr>
        <w:widowControl/>
        <w:spacing w:line="480" w:lineRule="atLeast"/>
        <w:ind w:firstLine="420" w:firstLineChars="200"/>
        <w:jc w:val="left"/>
        <w:rPr>
          <w:rFonts w:ascii="宋体" w:hAnsi="宋体" w:eastAsia="宋体" w:cs="宋体"/>
          <w:color w:val="2D2D2D"/>
          <w:szCs w:val="21"/>
        </w:rPr>
      </w:pPr>
      <w:r>
        <w:rPr>
          <w:rFonts w:hint="eastAsia" w:ascii="宋体" w:hAnsi="宋体" w:eastAsia="宋体" w:cs="宋体"/>
          <w:color w:val="2D2D2D"/>
          <w:kern w:val="0"/>
          <w:szCs w:val="21"/>
        </w:rPr>
        <w:t>开封大学紧紧围绕立德树人根本任务，于2017年3月启动了思想政治教育质量提升工程、工匠精神塑造工程、创新与实践能力提升工程、美育体育水平提升工程“四大工程”，并列入“开封大学2017年十项重点工作”，具体开展了50余项主题活动，积极引导广大青年争做有理想、有追求的大学生，争做有担当、有作为的大学生，争做有品质、有修养的大学生。</w:t>
      </w:r>
    </w:p>
    <w:p>
      <w:pPr>
        <w:widowControl/>
        <w:spacing w:line="480" w:lineRule="atLeast"/>
        <w:jc w:val="left"/>
        <w:rPr>
          <w:rFonts w:ascii="宋体" w:hAnsi="宋体" w:eastAsia="宋体" w:cs="宋体"/>
          <w:color w:val="2D2D2D"/>
          <w:szCs w:val="21"/>
        </w:rPr>
      </w:pPr>
      <w:r>
        <w:rPr>
          <w:rFonts w:hint="eastAsia" w:ascii="宋体" w:hAnsi="宋体" w:eastAsia="宋体" w:cs="宋体"/>
          <w:color w:val="2D2D2D"/>
          <w:kern w:val="0"/>
          <w:szCs w:val="21"/>
        </w:rPr>
        <w:t>　　围绕思想政治教育质量提升工程，开展了“坚守信仰，导航青春”“不忘初心跟党走，青春献礼十九大”等教育活动，开展了思政课教师业务水平和教学质量提升活动，有效提升了思政教育水平。</w:t>
      </w:r>
    </w:p>
    <w:p>
      <w:pPr>
        <w:widowControl/>
        <w:spacing w:line="480" w:lineRule="atLeast"/>
        <w:jc w:val="left"/>
        <w:rPr>
          <w:rFonts w:ascii="宋体" w:hAnsi="宋体" w:eastAsia="宋体" w:cs="宋体"/>
          <w:color w:val="2D2D2D"/>
          <w:szCs w:val="21"/>
        </w:rPr>
      </w:pPr>
      <w:r>
        <w:rPr>
          <w:rFonts w:hint="eastAsia" w:ascii="宋体" w:hAnsi="宋体" w:eastAsia="宋体" w:cs="宋体"/>
          <w:color w:val="2D2D2D"/>
          <w:kern w:val="0"/>
          <w:szCs w:val="21"/>
        </w:rPr>
        <w:t>　　围绕工匠精神塑造工程，开展了“引导学习风尚，培育大国工匠”“大国工匠”进校园等教育活动，引导学生塑造匠人精神、掌握娴熟技能。</w:t>
      </w:r>
    </w:p>
    <w:p>
      <w:pPr>
        <w:widowControl/>
        <w:spacing w:line="480" w:lineRule="atLeast"/>
        <w:jc w:val="left"/>
        <w:rPr>
          <w:rFonts w:ascii="宋体" w:hAnsi="宋体" w:eastAsia="宋体" w:cs="宋体"/>
          <w:color w:val="2D2D2D"/>
          <w:szCs w:val="21"/>
        </w:rPr>
      </w:pPr>
      <w:r>
        <w:rPr>
          <w:rFonts w:hint="eastAsia" w:ascii="宋体" w:hAnsi="宋体" w:eastAsia="宋体" w:cs="宋体"/>
          <w:color w:val="2D2D2D"/>
          <w:kern w:val="0"/>
          <w:szCs w:val="21"/>
        </w:rPr>
        <w:t>　　围绕创新与实践能力提升工程，学校划拨专项经费100万元，设立了“开封大学大学生创新基金”，引导和鼓励在校大学生开展创新活动。2017年资助重点项目23项，一般项目119项。依托专业类学生社团带动成立了190个创新兴趣小组，组织开展了“大学生课外作品展”，重点打造“小青桔”志愿服务品牌，完成了郑开国际马拉松、清明文化节、文明城市创建等重大志愿服务8000余人次。</w:t>
      </w:r>
    </w:p>
    <w:p>
      <w:pPr>
        <w:widowControl/>
        <w:spacing w:line="480" w:lineRule="atLeast"/>
        <w:jc w:val="left"/>
        <w:rPr>
          <w:rFonts w:ascii="宋体" w:hAnsi="宋体" w:eastAsia="宋体" w:cs="宋体"/>
          <w:color w:val="2D2D2D"/>
          <w:szCs w:val="21"/>
        </w:rPr>
      </w:pPr>
      <w:r>
        <w:rPr>
          <w:rFonts w:hint="eastAsia" w:ascii="宋体" w:hAnsi="宋体" w:eastAsia="宋体" w:cs="宋体"/>
          <w:color w:val="2D2D2D"/>
          <w:kern w:val="0"/>
          <w:szCs w:val="21"/>
        </w:rPr>
        <w:t>　　围绕美育体育水平提升工程，增设了4门艺术限选课，组建了一批艺术类学生社团，开展了戏曲文化进校园、社团文化艺术节等校园文化活动，积极开展心理健康教育，促进了学生的道德素质、审美意识，使身心健康协调发展。</w:t>
      </w:r>
    </w:p>
    <w:p>
      <w:pPr>
        <w:widowControl/>
        <w:spacing w:line="480" w:lineRule="atLeast"/>
        <w:jc w:val="left"/>
        <w:rPr>
          <w:rFonts w:ascii="宋体" w:hAnsi="宋体" w:eastAsia="宋体" w:cs="宋体"/>
          <w:color w:val="2D2D2D"/>
          <w:kern w:val="0"/>
          <w:szCs w:val="21"/>
        </w:rPr>
      </w:pPr>
      <w:r>
        <w:rPr>
          <w:rFonts w:hint="eastAsia" w:ascii="宋体" w:hAnsi="宋体" w:eastAsia="宋体" w:cs="宋体"/>
          <w:color w:val="2D2D2D"/>
          <w:kern w:val="0"/>
          <w:szCs w:val="21"/>
        </w:rPr>
        <w:t> （ 来源：河南省教育厅新闻办，201</w:t>
      </w:r>
      <w:r>
        <w:rPr>
          <w:rFonts w:hint="eastAsia" w:ascii="宋体" w:hAnsi="宋体" w:eastAsia="宋体" w:cs="宋体"/>
          <w:color w:val="2D2D2D"/>
          <w:kern w:val="0"/>
          <w:szCs w:val="21"/>
          <w:lang w:val="en-US" w:eastAsia="zh-CN"/>
        </w:rPr>
        <w:t>8</w:t>
      </w:r>
      <w:bookmarkStart w:id="16" w:name="_GoBack"/>
      <w:bookmarkEnd w:id="16"/>
      <w:r>
        <w:rPr>
          <w:rFonts w:hint="eastAsia" w:ascii="宋体" w:hAnsi="宋体" w:eastAsia="宋体" w:cs="宋体"/>
          <w:color w:val="2D2D2D"/>
          <w:kern w:val="0"/>
          <w:szCs w:val="21"/>
        </w:rPr>
        <w:t>年01月26日）</w:t>
      </w:r>
    </w:p>
    <w:p>
      <w:pPr>
        <w:widowControl/>
        <w:spacing w:line="480" w:lineRule="atLeast"/>
        <w:jc w:val="left"/>
        <w:rPr>
          <w:rFonts w:ascii="宋体" w:hAnsi="宋体" w:eastAsia="宋体" w:cs="宋体"/>
          <w:color w:val="2D2D2D"/>
          <w:kern w:val="0"/>
          <w:szCs w:val="21"/>
        </w:rPr>
      </w:pPr>
      <w:r>
        <w:rPr>
          <w:rFonts w:hint="eastAsia" w:ascii="宋体" w:hAnsi="宋体" w:eastAsia="宋体" w:cs="宋体"/>
          <w:color w:val="2D2D2D"/>
          <w:kern w:val="0"/>
          <w:szCs w:val="21"/>
        </w:rPr>
        <w:t xml:space="preserve">  http://www.haedu.gov.cn/2018/01/26/1516959600677.html</w:t>
      </w:r>
    </w:p>
    <w:p>
      <w:pPr>
        <w:pStyle w:val="8"/>
        <w:widowControl/>
        <w:spacing w:beforeAutospacing="0" w:afterAutospacing="0" w:line="560" w:lineRule="exact"/>
        <w:jc w:val="both"/>
        <w:rPr>
          <w:rFonts w:ascii="宋体" w:hAnsi="宋体" w:eastAsia="宋体" w:cs="宋体"/>
          <w:color w:val="2D2D2D"/>
          <w:sz w:val="21"/>
          <w:szCs w:val="21"/>
        </w:rPr>
      </w:pPr>
    </w:p>
    <w:p>
      <w:pPr>
        <w:pStyle w:val="8"/>
        <w:widowControl/>
        <w:spacing w:beforeAutospacing="0" w:afterAutospacing="0" w:line="560" w:lineRule="exact"/>
        <w:jc w:val="center"/>
        <w:rPr>
          <w:rFonts w:ascii="宋体" w:hAnsi="宋体" w:eastAsia="宋体" w:cs="宋体"/>
          <w:b/>
          <w:bCs/>
          <w:color w:val="333333"/>
          <w:kern w:val="44"/>
          <w:sz w:val="36"/>
          <w:szCs w:val="36"/>
          <w:shd w:val="clear" w:color="auto" w:fill="FFFFFF"/>
        </w:rPr>
      </w:pPr>
    </w:p>
    <w:p>
      <w:pPr>
        <w:pStyle w:val="8"/>
        <w:widowControl/>
        <w:spacing w:beforeAutospacing="0" w:afterAutospacing="0" w:line="560" w:lineRule="exact"/>
        <w:jc w:val="center"/>
        <w:rPr>
          <w:rFonts w:ascii="宋体" w:hAnsi="宋体" w:eastAsia="宋体" w:cs="宋体"/>
          <w:b/>
          <w:bCs/>
          <w:color w:val="333333"/>
          <w:kern w:val="44"/>
          <w:sz w:val="36"/>
          <w:szCs w:val="36"/>
          <w:shd w:val="clear" w:color="auto" w:fill="FFFFFF"/>
        </w:rPr>
      </w:pPr>
    </w:p>
    <w:p>
      <w:pPr>
        <w:pStyle w:val="8"/>
        <w:widowControl/>
        <w:spacing w:beforeAutospacing="0" w:afterAutospacing="0" w:line="560" w:lineRule="exact"/>
        <w:jc w:val="center"/>
        <w:rPr>
          <w:rFonts w:ascii="宋体" w:hAnsi="宋体" w:eastAsia="宋体" w:cs="宋体"/>
          <w:b/>
          <w:bCs/>
          <w:color w:val="333333"/>
          <w:kern w:val="44"/>
          <w:sz w:val="36"/>
          <w:szCs w:val="36"/>
          <w:shd w:val="clear" w:color="auto" w:fill="FFFFFF"/>
        </w:rPr>
      </w:pPr>
    </w:p>
    <w:p>
      <w:pPr>
        <w:pStyle w:val="8"/>
        <w:widowControl/>
        <w:spacing w:beforeAutospacing="0" w:afterAutospacing="0" w:line="560" w:lineRule="exact"/>
        <w:jc w:val="center"/>
        <w:outlineLvl w:val="0"/>
        <w:rPr>
          <w:rFonts w:ascii="宋体" w:hAnsi="宋体" w:eastAsia="宋体" w:cs="宋体"/>
          <w:b/>
          <w:bCs/>
          <w:color w:val="333333"/>
          <w:kern w:val="44"/>
          <w:sz w:val="36"/>
          <w:szCs w:val="36"/>
          <w:shd w:val="clear" w:color="auto" w:fill="FFFFFF"/>
        </w:rPr>
      </w:pPr>
      <w:bookmarkStart w:id="9" w:name="_Toc14029"/>
      <w:r>
        <w:rPr>
          <w:rFonts w:hint="eastAsia" w:ascii="宋体" w:hAnsi="宋体" w:eastAsia="宋体" w:cs="宋体"/>
          <w:b/>
          <w:bCs/>
          <w:color w:val="333333"/>
          <w:kern w:val="44"/>
          <w:sz w:val="36"/>
          <w:szCs w:val="36"/>
          <w:shd w:val="clear" w:color="auto" w:fill="FFFFFF"/>
        </w:rPr>
        <w:t>西安交通大学积极推进科研体制机制改革</w:t>
      </w:r>
      <w:bookmarkEnd w:id="9"/>
    </w:p>
    <w:p>
      <w:pPr>
        <w:pStyle w:val="8"/>
        <w:widowControl/>
        <w:spacing w:beforeAutospacing="0" w:afterAutospacing="0" w:line="560" w:lineRule="exact"/>
        <w:ind w:firstLine="723" w:firstLineChars="200"/>
        <w:jc w:val="center"/>
        <w:rPr>
          <w:rFonts w:ascii="宋体" w:hAnsi="宋体" w:eastAsia="宋体" w:cs="宋体"/>
          <w:b/>
          <w:bCs/>
          <w:color w:val="333333"/>
          <w:kern w:val="44"/>
          <w:sz w:val="36"/>
          <w:szCs w:val="36"/>
          <w:shd w:val="clear" w:color="auto" w:fill="FFFFFF"/>
        </w:rPr>
      </w:pPr>
    </w:p>
    <w:p>
      <w:pPr>
        <w:widowControl/>
        <w:spacing w:line="460" w:lineRule="atLeast"/>
        <w:ind w:firstLine="420" w:firstLineChars="200"/>
        <w:jc w:val="left"/>
        <w:rPr>
          <w:rFonts w:ascii="宋体" w:hAnsi="宋体" w:eastAsia="宋体" w:cs="宋体"/>
          <w:color w:val="2D2D2D"/>
          <w:kern w:val="0"/>
          <w:szCs w:val="21"/>
        </w:rPr>
      </w:pPr>
      <w:r>
        <w:rPr>
          <w:rFonts w:hint="eastAsia" w:ascii="宋体" w:hAnsi="宋体" w:eastAsia="宋体" w:cs="宋体"/>
          <w:bCs/>
          <w:color w:val="2D2D2D"/>
          <w:kern w:val="0"/>
          <w:szCs w:val="21"/>
        </w:rPr>
        <w:t>创新科研组织模式。</w:t>
      </w:r>
      <w:r>
        <w:rPr>
          <w:rFonts w:hint="eastAsia" w:ascii="宋体" w:hAnsi="宋体" w:eastAsia="宋体" w:cs="宋体"/>
          <w:color w:val="2D2D2D"/>
          <w:kern w:val="0"/>
          <w:szCs w:val="21"/>
        </w:rPr>
        <w:t>改革管理机构和工作机制，建立项目管理中心、产学研办公室、社会科学处等职能机构，为师生科研工作和科技成果转移转化提供更加到位、更加优质的服务和支撑。加强基层科研组织建设，印发关于基层科研组织建设的指导意见，厘清学院科研和教学管理体系，发挥学院办学主体作用。创新科研组织申报模式，支持学科建设和基地平台建设，组建交叉性科研团队，组织跨学科、跨校、跨国智库平台，建立集成化、综合化、交融化的新型科研组织，变“单兵作战”为“协同作战”。</w:t>
      </w:r>
    </w:p>
    <w:p>
      <w:pPr>
        <w:widowControl/>
        <w:spacing w:line="460" w:lineRule="atLeast"/>
        <w:jc w:val="left"/>
        <w:rPr>
          <w:rFonts w:ascii="宋体" w:hAnsi="宋体" w:eastAsia="宋体" w:cs="宋体"/>
          <w:color w:val="2D2D2D"/>
          <w:kern w:val="0"/>
          <w:szCs w:val="21"/>
        </w:rPr>
      </w:pPr>
      <w:r>
        <w:rPr>
          <w:rFonts w:hint="eastAsia" w:ascii="宋体" w:hAnsi="宋体" w:eastAsia="宋体" w:cs="宋体"/>
          <w:color w:val="2D2D2D"/>
          <w:kern w:val="0"/>
          <w:szCs w:val="21"/>
        </w:rPr>
        <w:t>　　</w:t>
      </w:r>
      <w:r>
        <w:rPr>
          <w:rFonts w:hint="eastAsia" w:ascii="宋体" w:hAnsi="宋体" w:eastAsia="宋体" w:cs="宋体"/>
          <w:bCs/>
          <w:color w:val="2D2D2D"/>
          <w:kern w:val="0"/>
          <w:szCs w:val="21"/>
        </w:rPr>
        <w:t>改革科研评价体制。</w:t>
      </w:r>
      <w:r>
        <w:rPr>
          <w:rFonts w:hint="eastAsia" w:ascii="宋体" w:hAnsi="宋体" w:eastAsia="宋体" w:cs="宋体"/>
          <w:color w:val="2D2D2D"/>
          <w:kern w:val="0"/>
          <w:szCs w:val="21"/>
        </w:rPr>
        <w:t>坚持分类评价与政策激励相结合，优化资源配置，强化科研投入产出管理，建立健全以创新、质量和效益为主线的多元化评价体系。坚持个人评价与团队评价相结合，建立跨学科、跨学院、跨学校合作评价制度，充分承认、公正对待成果参与人在合作研究中的实际贡献。基础研究重点考核科研成果，重视同行评价或国际评价；应用研究和前沿技术研究重点考核承担国家或横向大项目、获得专利技术及转让情况；人文社科领域试点长周期考核，让教师安心做学术、从容出成果。</w:t>
      </w:r>
    </w:p>
    <w:p>
      <w:pPr>
        <w:widowControl/>
        <w:spacing w:line="460" w:lineRule="atLeast"/>
        <w:jc w:val="left"/>
        <w:rPr>
          <w:rFonts w:ascii="宋体" w:hAnsi="宋体" w:eastAsia="宋体" w:cs="宋体"/>
          <w:color w:val="2D2D2D"/>
          <w:kern w:val="0"/>
          <w:szCs w:val="21"/>
        </w:rPr>
      </w:pPr>
      <w:r>
        <w:rPr>
          <w:rFonts w:hint="eastAsia" w:ascii="宋体" w:hAnsi="宋体" w:eastAsia="宋体" w:cs="宋体"/>
          <w:color w:val="2D2D2D"/>
          <w:kern w:val="0"/>
          <w:szCs w:val="21"/>
        </w:rPr>
        <w:t>　</w:t>
      </w:r>
      <w:r>
        <w:rPr>
          <w:rFonts w:hint="eastAsia" w:ascii="宋体" w:hAnsi="宋体" w:eastAsia="宋体" w:cs="宋体"/>
          <w:b/>
          <w:bCs/>
          <w:color w:val="2D2D2D"/>
          <w:kern w:val="0"/>
          <w:szCs w:val="21"/>
        </w:rPr>
        <w:t>　</w:t>
      </w:r>
      <w:r>
        <w:rPr>
          <w:rFonts w:hint="eastAsia" w:ascii="宋体" w:hAnsi="宋体" w:eastAsia="宋体" w:cs="宋体"/>
          <w:bCs/>
          <w:color w:val="2D2D2D"/>
          <w:kern w:val="0"/>
          <w:szCs w:val="21"/>
        </w:rPr>
        <w:t>强化科研保障体系。</w:t>
      </w:r>
      <w:r>
        <w:rPr>
          <w:rFonts w:hint="eastAsia" w:ascii="宋体" w:hAnsi="宋体" w:eastAsia="宋体" w:cs="宋体"/>
          <w:color w:val="2D2D2D"/>
          <w:kern w:val="0"/>
          <w:szCs w:val="21"/>
        </w:rPr>
        <w:t>健全科技决策咨询制度，完善校学术委员会及其分委会的组织工作机制，突出学术委员会学校最高学术机构地位，充分发挥其对学校学术事务的决策、审议、评定和咨询作用。设立原始创新和学科交叉基金、科技领军人才和创新团队培育基金，出台基础研究奖励办法，激励产出重大原创性科研成果。完善自主创新政策措施，出台专利技术转让和承担大项目的奖励办法。加强重点科研基地建设，实施省部级实验室运行基金计划，加强科研基地服务支撑能力建设。健全可持续发展科研体系，通过支持基础研究、提升青年教师科研能力、设立“重大研究课题引导计划”等进一步培育科研新的增长点。</w:t>
      </w:r>
    </w:p>
    <w:p>
      <w:pPr>
        <w:widowControl/>
        <w:spacing w:line="460" w:lineRule="atLeast"/>
        <w:ind w:firstLine="420" w:firstLineChars="200"/>
        <w:jc w:val="left"/>
        <w:rPr>
          <w:rFonts w:ascii="宋体" w:hAnsi="宋体" w:eastAsia="宋体" w:cs="宋体"/>
          <w:color w:val="2D2D2D"/>
          <w:kern w:val="0"/>
          <w:szCs w:val="21"/>
        </w:rPr>
      </w:pPr>
      <w:r>
        <w:rPr>
          <w:rFonts w:hint="eastAsia" w:ascii="宋体" w:hAnsi="宋体" w:eastAsia="宋体" w:cs="宋体"/>
          <w:bCs/>
          <w:color w:val="2D2D2D"/>
          <w:kern w:val="0"/>
          <w:szCs w:val="21"/>
        </w:rPr>
        <w:t>鼓励科研成果转化。</w:t>
      </w:r>
      <w:r>
        <w:rPr>
          <w:rFonts w:hint="eastAsia" w:ascii="宋体" w:hAnsi="宋体" w:eastAsia="宋体" w:cs="宋体"/>
          <w:color w:val="2D2D2D"/>
          <w:kern w:val="0"/>
          <w:szCs w:val="21"/>
        </w:rPr>
        <w:t>加强科研过程管理，打造科学规范的项目、合同、经费管理体系。完善成果转化机制，明晰审批手续和流程，改革成果处置权、收益分配权和成果转化方式，最大化调动广大教学科研人员的成果转化积极性。拓展成果转化渠道，加强与政府部门、企事业单位沟通对接，支持高端品牌论坛、高水平杂志等平台建设，联合设立智库合作平台。联合社会各方资本，设立西交科创基金、种子基金、材料基金等总规模7亿的创投基金，与校友共同发起设立科技双创基地，已孵化36家科技企业。</w:t>
      </w:r>
    </w:p>
    <w:p>
      <w:pPr>
        <w:widowControl/>
        <w:spacing w:line="460" w:lineRule="atLeast"/>
        <w:ind w:firstLine="420" w:firstLineChars="200"/>
        <w:jc w:val="left"/>
        <w:rPr>
          <w:rFonts w:ascii="宋体" w:hAnsi="宋体" w:eastAsia="宋体" w:cs="宋体"/>
          <w:color w:val="2D2D2D"/>
          <w:kern w:val="0"/>
          <w:szCs w:val="21"/>
        </w:rPr>
      </w:pPr>
      <w:r>
        <w:rPr>
          <w:rFonts w:hint="eastAsia" w:ascii="宋体" w:hAnsi="宋体" w:eastAsia="宋体" w:cs="宋体"/>
          <w:color w:val="2D2D2D"/>
          <w:kern w:val="0"/>
          <w:szCs w:val="21"/>
        </w:rPr>
        <w:t>（来源：教育部门户网站，2018年01月02日）</w:t>
      </w:r>
    </w:p>
    <w:p>
      <w:pPr>
        <w:widowControl/>
        <w:spacing w:line="460" w:lineRule="atLeast"/>
        <w:ind w:firstLine="420" w:firstLineChars="200"/>
        <w:jc w:val="left"/>
        <w:rPr>
          <w:rFonts w:ascii="宋体" w:hAnsi="宋体" w:eastAsia="宋体" w:cs="宋体"/>
          <w:color w:val="2D2D2D"/>
          <w:kern w:val="0"/>
          <w:szCs w:val="21"/>
        </w:rPr>
      </w:pPr>
      <w:r>
        <w:rPr>
          <w:rFonts w:hint="eastAsia" w:ascii="宋体" w:hAnsi="宋体" w:eastAsia="宋体" w:cs="宋体"/>
          <w:color w:val="2D2D2D"/>
          <w:kern w:val="0"/>
          <w:szCs w:val="21"/>
        </w:rPr>
        <w:t>http://www.moe.gov.cn/jyb_xwfb/s6192/s133/s215/201801/t20180104_323739.html</w:t>
      </w:r>
    </w:p>
    <w:p>
      <w:pPr>
        <w:widowControl/>
        <w:spacing w:afterLines="100" w:line="480" w:lineRule="atLeast"/>
        <w:rPr>
          <w:color w:val="4B4B4B"/>
          <w:sz w:val="36"/>
          <w:szCs w:val="36"/>
          <w:shd w:val="clear" w:color="auto" w:fill="FFFFFF"/>
        </w:rPr>
      </w:pPr>
      <w:bookmarkStart w:id="10" w:name="_Toc6675"/>
      <w:r>
        <w:rPr>
          <w:color w:val="4B4B4B"/>
          <w:sz w:val="36"/>
          <w:szCs w:val="36"/>
          <w:shd w:val="clear" w:color="auto" w:fill="FFFFFF"/>
        </w:rPr>
        <w:t>【</w:t>
      </w:r>
      <w:r>
        <w:rPr>
          <w:rFonts w:hint="eastAsia"/>
          <w:b/>
          <w:bCs/>
          <w:color w:val="4B4B4B"/>
          <w:sz w:val="36"/>
          <w:szCs w:val="36"/>
          <w:shd w:val="clear" w:color="auto" w:fill="FFFFFF"/>
        </w:rPr>
        <w:t>海外来风</w:t>
      </w:r>
      <w:r>
        <w:rPr>
          <w:color w:val="4B4B4B"/>
          <w:sz w:val="36"/>
          <w:szCs w:val="36"/>
          <w:shd w:val="clear" w:color="auto" w:fill="FFFFFF"/>
        </w:rPr>
        <w:t>】</w:t>
      </w:r>
      <w:bookmarkEnd w:id="10"/>
    </w:p>
    <w:p>
      <w:pPr>
        <w:pStyle w:val="2"/>
        <w:widowControl/>
        <w:shd w:val="clear" w:color="auto" w:fill="FFFFFF"/>
        <w:spacing w:before="210" w:beforeAutospacing="0" w:afterAutospacing="0"/>
        <w:jc w:val="center"/>
        <w:rPr>
          <w:rFonts w:hint="default" w:ascii="微软雅黑" w:hAnsi="微软雅黑" w:eastAsia="微软雅黑" w:cs="微软雅黑"/>
          <w:b w:val="0"/>
          <w:color w:val="333333"/>
          <w:sz w:val="36"/>
          <w:szCs w:val="36"/>
        </w:rPr>
      </w:pPr>
      <w:bookmarkStart w:id="11" w:name="_Toc7617"/>
      <w:r>
        <w:rPr>
          <w:rFonts w:ascii="微软雅黑" w:hAnsi="微软雅黑" w:eastAsia="微软雅黑" w:cs="微软雅黑"/>
          <w:b w:val="0"/>
          <w:color w:val="333333"/>
          <w:sz w:val="36"/>
          <w:szCs w:val="36"/>
          <w:shd w:val="clear" w:color="auto" w:fill="FFFFFF"/>
        </w:rPr>
        <w:t>经合组织发布报告聚焦课堂视频研究</w:t>
      </w:r>
      <w:bookmarkEnd w:id="11"/>
    </w:p>
    <w:p>
      <w:pPr>
        <w:widowControl/>
        <w:spacing w:line="460" w:lineRule="atLeast"/>
        <w:jc w:val="left"/>
        <w:rPr>
          <w:rFonts w:ascii="宋体" w:hAnsi="宋体" w:eastAsia="宋体" w:cs="宋体"/>
          <w:color w:val="2D2D2D"/>
          <w:kern w:val="0"/>
          <w:szCs w:val="21"/>
        </w:rPr>
      </w:pPr>
    </w:p>
    <w:p>
      <w:pPr>
        <w:pStyle w:val="8"/>
        <w:widowControl/>
        <w:shd w:val="clear" w:color="auto" w:fill="FFFFFF"/>
        <w:spacing w:beforeAutospacing="0" w:afterAutospacing="0" w:line="560" w:lineRule="atLeast"/>
        <w:ind w:firstLine="420"/>
        <w:rPr>
          <w:rFonts w:ascii="宋体" w:hAnsi="宋体" w:eastAsia="宋体" w:cs="宋体"/>
          <w:color w:val="333333"/>
          <w:sz w:val="21"/>
          <w:szCs w:val="21"/>
        </w:rPr>
      </w:pPr>
      <w:r>
        <w:rPr>
          <w:rFonts w:hint="eastAsia" w:ascii="宋体" w:hAnsi="宋体" w:eastAsia="宋体" w:cs="宋体"/>
          <w:color w:val="333333"/>
          <w:sz w:val="21"/>
          <w:szCs w:val="21"/>
          <w:shd w:val="clear" w:color="auto" w:fill="FFFFFF"/>
        </w:rPr>
        <w:t>日前，经济合作与发展组织（OECD，简称经合组织）发布第20份教学专题报告《教学是什么？一项新的视频研究》，聚焦教师教学国际调查（TALIS）中的课堂视频研究，通过对教师的课堂教学视频进行观察，捕捉不同国家教师的教学情况，获得较完整的教学图景。</w:t>
      </w:r>
    </w:p>
    <w:p>
      <w:pPr>
        <w:pStyle w:val="8"/>
        <w:widowControl/>
        <w:shd w:val="clear" w:color="auto" w:fill="FFFFFF"/>
        <w:spacing w:beforeAutospacing="0" w:afterAutospacing="0" w:line="560" w:lineRule="atLeast"/>
        <w:ind w:firstLine="420"/>
        <w:rPr>
          <w:rFonts w:ascii="宋体" w:hAnsi="宋体" w:eastAsia="宋体" w:cs="宋体"/>
          <w:color w:val="333333"/>
          <w:sz w:val="21"/>
          <w:szCs w:val="21"/>
        </w:rPr>
      </w:pPr>
      <w:r>
        <w:rPr>
          <w:rFonts w:hint="eastAsia" w:ascii="宋体" w:hAnsi="宋体" w:eastAsia="宋体" w:cs="宋体"/>
          <w:color w:val="333333"/>
          <w:sz w:val="21"/>
          <w:szCs w:val="21"/>
          <w:shd w:val="clear" w:color="auto" w:fill="FFFFFF"/>
        </w:rPr>
        <w:t>教师教学国际调查的课堂视频研究项目是将教师的课堂教学视频作为研究对象，进行质性研究的国际性大规模研究项目，通过对教师教学视频的研究，进一步了解世界各国教师的课堂教学情况。课堂视频研究的主要问题包括，教师在教学过程中使用了哪些教学方法，国家内部和不同国家之间教师的教学方法存在哪些差异，哪些方法是教师最常用或最不常用的，哪些方法是最有效的，各教学方法之间如何关联，教师如何结合个人的实践经验确定不同的教学策略，哪些教学方法与学生的学习成果最相关，哪些方法最有效等。</w:t>
      </w:r>
    </w:p>
    <w:p>
      <w:pPr>
        <w:pStyle w:val="8"/>
        <w:widowControl/>
        <w:shd w:val="clear" w:color="auto" w:fill="FFFFFF"/>
        <w:spacing w:beforeAutospacing="0" w:afterAutospacing="0" w:line="560" w:lineRule="atLeast"/>
        <w:ind w:firstLine="420"/>
        <w:rPr>
          <w:rFonts w:ascii="宋体" w:hAnsi="宋体" w:eastAsia="宋体" w:cs="宋体"/>
          <w:color w:val="333333"/>
          <w:sz w:val="21"/>
          <w:szCs w:val="21"/>
        </w:rPr>
      </w:pPr>
      <w:r>
        <w:rPr>
          <w:rFonts w:hint="eastAsia" w:ascii="宋体" w:hAnsi="宋体" w:eastAsia="宋体" w:cs="宋体"/>
          <w:color w:val="333333"/>
          <w:sz w:val="21"/>
          <w:szCs w:val="21"/>
          <w:shd w:val="clear" w:color="auto" w:fill="FFFFFF"/>
        </w:rPr>
        <w:t>该报告分析，课堂视频研究项目的中心任务是定义教学实践的框架，该框架将教学实践分为多个领域。每个领域包含多个要素和指标，以提供更深入的教学方法。这些要素涉及的方面较为复杂，如鼓励学生承担责任，培养学生多种推理能力，引发学生的思考等；指标包括许多易于观察的活动，如在教学任务上花费的时间、学生参与讨论的机会、学习目标的明确性以及现代教学技术的使用等。</w:t>
      </w:r>
    </w:p>
    <w:p>
      <w:pPr>
        <w:pStyle w:val="8"/>
        <w:widowControl/>
        <w:shd w:val="clear" w:color="auto" w:fill="FFFFFF"/>
        <w:spacing w:beforeAutospacing="0" w:afterAutospacing="0" w:line="560" w:lineRule="atLeast"/>
        <w:ind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该报告指出，教学是教师教育过程中的核心内容，对学生的学习起着至关重要的作用。课堂视频研究可以为教师提供更多新的教学理念，改善教师的教学实践。</w:t>
      </w:r>
    </w:p>
    <w:p>
      <w:pPr>
        <w:pStyle w:val="8"/>
        <w:widowControl/>
        <w:shd w:val="clear" w:color="auto" w:fill="FFFFFF"/>
        <w:spacing w:beforeAutospacing="0" w:afterAutospacing="0" w:line="560" w:lineRule="atLeast"/>
        <w:ind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（来源：《中国教育报》2018年03月02日）</w:t>
      </w:r>
    </w:p>
    <w:p>
      <w:pPr>
        <w:pStyle w:val="8"/>
        <w:widowControl/>
        <w:shd w:val="clear" w:color="auto" w:fill="FFFFFF"/>
        <w:spacing w:beforeAutospacing="0" w:afterAutospacing="0" w:line="560" w:lineRule="atLeast"/>
        <w:ind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http://www.jyb.cn/zgjyb/201803/t20180302_1005479.html</w:t>
      </w:r>
    </w:p>
    <w:p>
      <w:pPr>
        <w:widowControl/>
        <w:spacing w:line="4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bookmarkStart w:id="12" w:name="_Toc2360"/>
    </w:p>
    <w:p>
      <w:pPr>
        <w:widowControl/>
        <w:spacing w:line="560" w:lineRule="atLeast"/>
        <w:jc w:val="left"/>
        <w:rPr>
          <w:rFonts w:ascii="宋体" w:hAnsi="宋体" w:eastAsia="宋体" w:cs="宋体"/>
          <w:color w:val="2D2D2D"/>
          <w:kern w:val="0"/>
          <w:szCs w:val="21"/>
        </w:rPr>
      </w:pPr>
    </w:p>
    <w:p>
      <w:pPr>
        <w:widowControl/>
        <w:spacing w:line="560" w:lineRule="atLeast"/>
        <w:jc w:val="center"/>
        <w:outlineLvl w:val="0"/>
        <w:rPr>
          <w:rFonts w:ascii="微软雅黑" w:hAnsi="微软雅黑" w:eastAsia="微软雅黑" w:cs="微软雅黑"/>
          <w:color w:val="333333"/>
          <w:kern w:val="44"/>
          <w:sz w:val="36"/>
          <w:szCs w:val="36"/>
          <w:shd w:val="clear" w:color="auto" w:fill="FFFFFF"/>
        </w:rPr>
      </w:pPr>
      <w:bookmarkStart w:id="13" w:name="_Toc13261"/>
      <w:r>
        <w:rPr>
          <w:rFonts w:hint="eastAsia" w:ascii="微软雅黑" w:hAnsi="微软雅黑" w:eastAsia="微软雅黑" w:cs="微软雅黑"/>
          <w:color w:val="333333"/>
          <w:kern w:val="44"/>
          <w:sz w:val="36"/>
          <w:szCs w:val="36"/>
          <w:shd w:val="clear" w:color="auto" w:fill="FFFFFF"/>
        </w:rPr>
        <w:t>英国人工智能引爆科技巨头招聘狂潮</w:t>
      </w:r>
      <w:bookmarkEnd w:id="13"/>
    </w:p>
    <w:p>
      <w:pPr>
        <w:widowControl/>
        <w:spacing w:line="560" w:lineRule="atLeast"/>
        <w:jc w:val="center"/>
        <w:outlineLvl w:val="0"/>
        <w:rPr>
          <w:rFonts w:ascii="微软雅黑" w:hAnsi="微软雅黑" w:eastAsia="微软雅黑" w:cs="微软雅黑"/>
          <w:color w:val="333333"/>
          <w:kern w:val="44"/>
          <w:sz w:val="36"/>
          <w:szCs w:val="36"/>
          <w:shd w:val="clear" w:color="auto" w:fill="FFFFFF"/>
        </w:rPr>
      </w:pPr>
      <w:bookmarkStart w:id="14" w:name="_Toc10528"/>
      <w:r>
        <w:rPr>
          <w:rFonts w:hint="eastAsia" w:ascii="微软雅黑" w:hAnsi="微软雅黑" w:eastAsia="微软雅黑" w:cs="微软雅黑"/>
          <w:color w:val="333333"/>
          <w:kern w:val="44"/>
          <w:sz w:val="36"/>
          <w:szCs w:val="36"/>
          <w:shd w:val="clear" w:color="auto" w:fill="FFFFFF"/>
        </w:rPr>
        <w:t>高校科研人才流失严重</w:t>
      </w:r>
      <w:bookmarkEnd w:id="14"/>
    </w:p>
    <w:p>
      <w:pPr>
        <w:widowControl/>
        <w:spacing w:line="560" w:lineRule="atLeast"/>
        <w:jc w:val="left"/>
        <w:outlineLvl w:val="0"/>
        <w:rPr>
          <w:rFonts w:ascii="微软雅黑" w:hAnsi="微软雅黑" w:eastAsia="微软雅黑" w:cs="微软雅黑"/>
          <w:color w:val="333333"/>
          <w:kern w:val="44"/>
          <w:sz w:val="36"/>
          <w:szCs w:val="36"/>
          <w:shd w:val="clear" w:color="auto" w:fill="FFFFFF"/>
        </w:rPr>
      </w:pPr>
    </w:p>
    <w:p>
      <w:pPr>
        <w:widowControl/>
        <w:spacing w:line="560" w:lineRule="atLeast"/>
        <w:ind w:firstLine="420" w:firstLineChars="200"/>
        <w:jc w:val="left"/>
        <w:rPr>
          <w:rFonts w:ascii="宋体" w:hAnsi="宋体" w:eastAsia="宋体" w:cs="宋体"/>
          <w:color w:val="2D2D2D"/>
          <w:kern w:val="0"/>
          <w:szCs w:val="21"/>
        </w:rPr>
      </w:pPr>
      <w:r>
        <w:rPr>
          <w:rFonts w:hint="eastAsia" w:ascii="宋体" w:hAnsi="宋体" w:eastAsia="宋体" w:cs="宋体"/>
          <w:color w:val="2D2D2D"/>
          <w:kern w:val="0"/>
          <w:szCs w:val="21"/>
        </w:rPr>
        <w:t>近日，英国一项调查结果显示，许多人工智能领域的顶尖学者从学术界跳槽至工业界，已经严重影响到了高校的正常教学和科研工作。究其原因，一方面，企业提供的津贴令高校很难望其项背：企业提供的薪水相当于高校薪水的二至五倍，部分顶尖青年学者甚至能拿8到20万英镑；另一方面，企业也为这些学者提供了优越的科研条件来解决现实世界中的问题，包括在高校很难获取的强大的计算能力和数据集。对此，帝国理工学院情感和行为计算学专家马佳·潘迪克表示，大量顶尖人才先后离开高校，集中转移至谷歌、苹果、亚马逊和Facebook等几家公司。部分学者认为，与电信业和互联网行业的情形相似，工业界对于人工智能领域人才的需求将会逐步稳定下来。但另一些人则希望政府、高校和企业联合采取行动，设立更多兼职岗位和人才交流机会，提高薪水，改善研究环境，增加横向课题项目，为学术界留住更多人才。</w:t>
      </w:r>
    </w:p>
    <w:p>
      <w:pPr>
        <w:widowControl/>
        <w:spacing w:line="560" w:lineRule="atLeast"/>
        <w:ind w:firstLine="420" w:firstLineChars="200"/>
        <w:jc w:val="left"/>
        <w:rPr>
          <w:rFonts w:ascii="宋体" w:hAnsi="宋体" w:eastAsia="宋体" w:cs="宋体"/>
          <w:color w:val="2D2D2D"/>
          <w:kern w:val="0"/>
          <w:szCs w:val="21"/>
        </w:rPr>
      </w:pPr>
      <w:r>
        <w:rPr>
          <w:rFonts w:hint="eastAsia" w:ascii="宋体" w:hAnsi="宋体" w:eastAsia="宋体" w:cs="宋体"/>
          <w:color w:val="2D2D2D"/>
          <w:kern w:val="0"/>
          <w:szCs w:val="21"/>
        </w:rPr>
        <w:t>（来源：英国《卫报》，2017年11月02日）</w:t>
      </w:r>
    </w:p>
    <w:p>
      <w:pPr>
        <w:pStyle w:val="8"/>
        <w:widowControl/>
        <w:shd w:val="clear" w:color="auto" w:fill="FFFFFF"/>
        <w:spacing w:beforeAutospacing="0" w:afterAutospacing="0" w:line="460" w:lineRule="exact"/>
        <w:ind w:firstLine="210" w:firstLineChars="10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https://www.theguardian.com/science/2017/nov/02/big-tech-firms-google-ai-hiring-frenzy-brain-drain-uk-universities</w:t>
      </w:r>
    </w:p>
    <w:p>
      <w:pPr>
        <w:pStyle w:val="8"/>
        <w:widowControl/>
        <w:shd w:val="clear" w:color="auto" w:fill="FFFFFF"/>
        <w:spacing w:beforeAutospacing="0" w:afterAutospacing="0" w:line="460" w:lineRule="exact"/>
        <w:ind w:firstLine="420"/>
        <w:rPr>
          <w:rFonts w:ascii="宋体" w:hAnsi="宋体" w:eastAsia="宋体" w:cs="宋体"/>
          <w:color w:val="333333"/>
          <w:sz w:val="21"/>
          <w:szCs w:val="21"/>
          <w:shd w:val="clear" w:color="auto" w:fill="FFFFFF"/>
        </w:rPr>
      </w:pPr>
    </w:p>
    <w:bookmarkEnd w:id="12"/>
    <w:p>
      <w:pPr>
        <w:widowControl/>
        <w:spacing w:line="460" w:lineRule="exac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afterLines="100" w:line="480" w:lineRule="atLeast"/>
        <w:rPr>
          <w:color w:val="4B4B4B"/>
          <w:sz w:val="36"/>
          <w:szCs w:val="36"/>
          <w:shd w:val="clear" w:color="auto" w:fill="FFFFFF"/>
        </w:rPr>
      </w:pPr>
      <w:r>
        <w:rPr>
          <w:color w:val="4B4B4B"/>
          <w:sz w:val="36"/>
          <w:szCs w:val="36"/>
          <w:shd w:val="clear" w:color="auto" w:fill="FFFFFF"/>
        </w:rPr>
        <w:t>【</w:t>
      </w:r>
      <w:r>
        <w:rPr>
          <w:rFonts w:hint="eastAsia"/>
          <w:b/>
          <w:bCs/>
          <w:color w:val="4B4B4B"/>
          <w:sz w:val="36"/>
          <w:szCs w:val="36"/>
          <w:shd w:val="clear" w:color="auto" w:fill="FFFFFF"/>
        </w:rPr>
        <w:t>经典导读</w:t>
      </w:r>
      <w:r>
        <w:rPr>
          <w:color w:val="4B4B4B"/>
          <w:sz w:val="36"/>
          <w:szCs w:val="36"/>
          <w:shd w:val="clear" w:color="auto" w:fill="FFFFFF"/>
        </w:rPr>
        <w:t>】</w:t>
      </w:r>
    </w:p>
    <w:p>
      <w:pPr>
        <w:widowControl/>
        <w:spacing w:line="560" w:lineRule="atLeast"/>
        <w:jc w:val="center"/>
        <w:outlineLvl w:val="0"/>
        <w:rPr>
          <w:rFonts w:ascii="微软雅黑" w:hAnsi="微软雅黑" w:eastAsia="微软雅黑" w:cs="微软雅黑"/>
          <w:color w:val="333333"/>
          <w:kern w:val="44"/>
          <w:sz w:val="36"/>
          <w:szCs w:val="36"/>
          <w:shd w:val="clear" w:color="auto" w:fill="FFFFFF"/>
        </w:rPr>
      </w:pPr>
      <w:bookmarkStart w:id="15" w:name="_Toc6704"/>
      <w:r>
        <w:rPr>
          <w:rFonts w:hint="eastAsia" w:ascii="微软雅黑" w:hAnsi="微软雅黑" w:eastAsia="微软雅黑" w:cs="微软雅黑"/>
          <w:color w:val="333333"/>
          <w:kern w:val="44"/>
          <w:sz w:val="36"/>
          <w:szCs w:val="36"/>
          <w:shd w:val="clear" w:color="auto" w:fill="FFFFFF"/>
        </w:rPr>
        <w:t>《高等教育新论——多学科的研究》</w:t>
      </w:r>
      <w:bookmarkEnd w:id="15"/>
    </w:p>
    <w:p/>
    <w:p>
      <w:pPr>
        <w:pStyle w:val="8"/>
        <w:widowControl/>
        <w:shd w:val="clear" w:color="auto" w:fill="FFFFFF"/>
        <w:spacing w:beforeAutospacing="0" w:afterAutospacing="0" w:line="465" w:lineRule="atLeast"/>
        <w:ind w:firstLine="482"/>
        <w:rPr>
          <w:rFonts w:ascii="宋体" w:hAnsi="宋体" w:eastAsia="宋体" w:cs="宋体"/>
          <w:color w:val="2D2D2D"/>
          <w:sz w:val="21"/>
          <w:szCs w:val="21"/>
        </w:rPr>
      </w:pPr>
      <w:r>
        <w:rPr>
          <w:rFonts w:hint="eastAsia" w:ascii="宋体" w:hAnsi="宋体" w:eastAsia="宋体" w:cs="宋体"/>
          <w:color w:val="2D2D2D"/>
          <w:sz w:val="21"/>
          <w:szCs w:val="21"/>
        </w:rPr>
        <w:t>《高等教育新论——多学科的研究》，原名《高等教育的观点：八个学科的比较的观点》，由美国高等教育界的著名教授伯顿·克拉克(Burton R. Clark)所著。伯顿·克拉克(Burton R. Clark)，1921年生，致力于高等教育的比较研究，历任耶鲁大学的高教所所长以及加州大学洛杉矶分校的教授和高教所所长。作为中国高等教育研究界最为熟悉的外国学者之一，其所著的相关高等教育作品如《高等教育系统》、《探究的场所—现代大学的科研和研究生教育》等在我国学术界产生了很大影响。</w:t>
      </w:r>
    </w:p>
    <w:p>
      <w:pPr>
        <w:pStyle w:val="8"/>
        <w:widowControl/>
        <w:shd w:val="clear" w:color="auto" w:fill="FFFFFF"/>
        <w:spacing w:beforeAutospacing="0" w:afterAutospacing="0" w:line="465" w:lineRule="atLeast"/>
        <w:ind w:firstLine="420" w:firstLineChars="200"/>
        <w:rPr>
          <w:rFonts w:ascii="宋体" w:hAnsi="宋体" w:eastAsia="宋体" w:cs="宋体"/>
          <w:color w:val="2D2D2D"/>
          <w:sz w:val="21"/>
          <w:szCs w:val="21"/>
        </w:rPr>
      </w:pPr>
      <w:r>
        <w:rPr>
          <w:rFonts w:hint="eastAsia" w:ascii="宋体" w:hAnsi="宋体" w:eastAsia="宋体" w:cs="宋体"/>
          <w:color w:val="2D2D2D"/>
          <w:sz w:val="21"/>
          <w:szCs w:val="21"/>
        </w:rPr>
        <w:t>正如原书名所呈现的，此书由分别代表八个学科的八位国际知名专家学者分别从历史的、政治的、经济的、组织的、文化的、社会学的地位、科学社会学及政策分析的八个不同视角对高等教育进行研究与分析。八位作者基于自身国际经验所作的比较分析，也让这本书从某种意义上成为“有关比较高等教育方法论”的专著，开辟出比较高等教育研究的新路子，因此后以“新论”命名。</w:t>
      </w:r>
    </w:p>
    <w:p>
      <w:pPr>
        <w:pStyle w:val="8"/>
        <w:widowControl/>
        <w:shd w:val="clear" w:color="auto" w:fill="FFFFFF"/>
        <w:spacing w:beforeAutospacing="0" w:afterAutospacing="0" w:line="465" w:lineRule="atLeast"/>
        <w:ind w:firstLine="420" w:firstLineChars="200"/>
        <w:rPr>
          <w:rFonts w:ascii="宋体" w:hAnsi="宋体" w:eastAsia="宋体" w:cs="宋体"/>
          <w:color w:val="2D2D2D"/>
          <w:sz w:val="21"/>
          <w:szCs w:val="21"/>
        </w:rPr>
      </w:pPr>
      <w:r>
        <w:rPr>
          <w:rFonts w:hint="eastAsia" w:ascii="宋体" w:hAnsi="宋体" w:eastAsia="宋体" w:cs="宋体"/>
          <w:color w:val="2D2D2D"/>
          <w:sz w:val="21"/>
          <w:szCs w:val="21"/>
        </w:rPr>
        <w:t>伯顿·克拉克教授可以说是引领这场比较高等教育研究新构想的总代表，在20世纪七八十年代，西方高等教育面临着一系列复杂问题并陷入“衰落”的大背景下，克拉克教授认为，此时高等教育亟需一种多学科的跨国视角进行深入分析，从各个学科领域的透镜来观察高等教育系统，这样既有助于避免“井蛙之见”，也利于各个领域深入了解，融会贯通，促进高等教育实现复兴。而这八个学科的观点又可以主要归纳为四个方面的主要内容，分别为政治与市场、机构与文化、科学与高等教育、政策和管理的运用。</w:t>
      </w:r>
    </w:p>
    <w:p>
      <w:pPr>
        <w:pStyle w:val="8"/>
        <w:widowControl/>
        <w:shd w:val="clear" w:color="auto" w:fill="FFFFFF"/>
        <w:spacing w:beforeAutospacing="0" w:afterAutospacing="0" w:line="465" w:lineRule="atLeast"/>
        <w:ind w:firstLine="420" w:firstLineChars="200"/>
        <w:rPr>
          <w:rFonts w:ascii="宋体" w:hAnsi="宋体" w:eastAsia="宋体" w:cs="宋体"/>
          <w:color w:val="2D2D2D"/>
          <w:sz w:val="21"/>
          <w:szCs w:val="21"/>
        </w:rPr>
      </w:pPr>
      <w:r>
        <w:rPr>
          <w:rFonts w:hint="eastAsia" w:ascii="宋体" w:hAnsi="宋体" w:eastAsia="宋体" w:cs="宋体"/>
          <w:color w:val="2D2D2D"/>
          <w:sz w:val="21"/>
          <w:szCs w:val="21"/>
        </w:rPr>
        <w:t>通过对这几方面内容的系统分析，为我们提供一个更加开阔的视角来看待高等教育历史发展，认清就整个高教系统而言，它不仅仅依靠政治秩序，还受经济力量、文化因素等影响。以多学科的比较的观点看待，更有助于把握整个高教系统内在的复杂性和多样性，且在当时的背景下，基于不同的观点了解不同的问题，并将其融合贯通，避免了某一观点的片面性，更有助于综合全面的明确已存在的问题并寻求完善的方法。</w:t>
      </w:r>
    </w:p>
    <w:p>
      <w:pPr>
        <w:pStyle w:val="8"/>
        <w:widowControl/>
        <w:shd w:val="clear" w:color="auto" w:fill="FFFFFF"/>
        <w:spacing w:beforeAutospacing="0" w:afterAutospacing="0" w:line="465" w:lineRule="atLeast"/>
        <w:ind w:firstLine="482"/>
        <w:rPr>
          <w:rFonts w:ascii="宋体" w:hAnsi="宋体" w:eastAsia="宋体" w:cs="宋体"/>
          <w:color w:val="2D2D2D"/>
          <w:sz w:val="21"/>
          <w:szCs w:val="21"/>
        </w:rPr>
      </w:pPr>
      <w:r>
        <w:rPr>
          <w:rFonts w:hint="eastAsia" w:ascii="宋体" w:hAnsi="宋体" w:eastAsia="宋体" w:cs="宋体"/>
          <w:color w:val="2D2D2D"/>
          <w:sz w:val="21"/>
          <w:szCs w:val="21"/>
        </w:rPr>
        <w:t>（摘编自科学网，作者：赵蓉，同济大学高等教育研究所）</w:t>
      </w:r>
    </w:p>
    <w:p>
      <w:pPr>
        <w:pStyle w:val="8"/>
        <w:widowControl/>
        <w:shd w:val="clear" w:color="auto" w:fill="FFFFFF"/>
        <w:spacing w:beforeAutospacing="0" w:afterAutospacing="0" w:line="465" w:lineRule="atLeast"/>
        <w:ind w:firstLine="482"/>
        <w:rPr>
          <w:rFonts w:ascii="宋体" w:hAnsi="宋体" w:eastAsia="宋体" w:cs="宋体"/>
          <w:color w:val="2D2D2D"/>
          <w:sz w:val="21"/>
          <w:szCs w:val="21"/>
        </w:rPr>
      </w:pPr>
      <w:r>
        <w:rPr>
          <w:rFonts w:hint="eastAsia" w:ascii="宋体" w:hAnsi="宋体" w:eastAsia="宋体" w:cs="宋体"/>
          <w:color w:val="2D2D2D"/>
          <w:sz w:val="21"/>
          <w:szCs w:val="21"/>
        </w:rPr>
        <w:t>http://blog.sciencenet.cn/blog-2848401-1060574.html</w:t>
      </w:r>
    </w:p>
    <w:p>
      <w:pPr>
        <w:pStyle w:val="8"/>
        <w:widowControl/>
        <w:shd w:val="clear" w:color="auto" w:fill="FFFFFF"/>
        <w:spacing w:beforeAutospacing="0" w:afterAutospacing="0" w:line="465" w:lineRule="atLeast"/>
        <w:ind w:firstLine="482"/>
        <w:rPr>
          <w:rFonts w:ascii="宋体" w:hAnsi="宋体" w:eastAsia="宋体" w:cs="宋体"/>
          <w:color w:val="2D2D2D"/>
          <w:sz w:val="21"/>
          <w:szCs w:val="21"/>
        </w:rPr>
      </w:pPr>
      <w:r>
        <w:rPr>
          <w:rFonts w:hint="eastAsia" w:ascii="宋体" w:hAnsi="宋体" w:eastAsia="宋体" w:cs="宋体"/>
          <w:color w:val="2D2D2D"/>
          <w:sz w:val="21"/>
          <w:szCs w:val="21"/>
        </w:rPr>
        <w:t xml:space="preserve"> </w:t>
      </w:r>
    </w:p>
    <w:p>
      <w:pPr>
        <w:widowControl/>
        <w:spacing w:line="560" w:lineRule="atLeast"/>
        <w:jc w:val="left"/>
        <w:rPr>
          <w:rFonts w:ascii="宋体" w:hAnsi="宋体" w:eastAsia="宋体" w:cs="宋体"/>
          <w:color w:val="2D2D2D"/>
          <w:kern w:val="0"/>
          <w:szCs w:val="21"/>
        </w:rPr>
        <w:sectPr>
          <w:footerReference r:id="rId6" w:type="default"/>
          <w:pgSz w:w="11906" w:h="16838"/>
          <w:pgMar w:top="1440" w:right="1800" w:bottom="1440" w:left="1800" w:header="851" w:footer="992" w:gutter="0"/>
          <w:pgNumType w:start="1"/>
          <w:cols w:space="425" w:num="1"/>
          <w:docGrid w:type="lines" w:linePitch="312" w:charSpace="0"/>
        </w:sect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560" w:lineRule="atLeast"/>
        <w:jc w:val="left"/>
        <w:rPr>
          <w:rFonts w:ascii="宋体" w:hAnsi="宋体" w:eastAsia="宋体" w:cs="宋体"/>
          <w:color w:val="2D2D2D"/>
          <w:kern w:val="0"/>
          <w:szCs w:val="21"/>
        </w:rPr>
      </w:pPr>
    </w:p>
    <w:p>
      <w:pPr>
        <w:widowControl/>
        <w:spacing w:line="440" w:lineRule="exact"/>
        <w:rPr>
          <w:rFonts w:ascii="宋体" w:hAnsi="宋体" w:eastAsia="宋体" w:cs="宋体"/>
          <w:color w:val="333333"/>
          <w:kern w:val="0"/>
          <w:sz w:val="24"/>
        </w:rPr>
      </w:pPr>
    </w:p>
    <w:p>
      <w:pPr>
        <w:widowControl/>
        <w:spacing w:line="440" w:lineRule="exact"/>
        <w:rPr>
          <w:rFonts w:ascii="宋体" w:hAnsi="宋体" w:eastAsia="宋体" w:cs="宋体"/>
          <w:color w:val="333333"/>
          <w:kern w:val="0"/>
          <w:sz w:val="24"/>
        </w:rPr>
      </w:pPr>
    </w:p>
    <w:p>
      <w:pPr>
        <w:widowControl/>
        <w:spacing w:line="440" w:lineRule="exact"/>
        <w:rPr>
          <w:rFonts w:ascii="宋体" w:hAnsi="宋体" w:eastAsia="宋体" w:cs="宋体"/>
          <w:color w:val="333333"/>
          <w:kern w:val="0"/>
          <w:sz w:val="24"/>
        </w:rPr>
      </w:pPr>
    </w:p>
    <w:p>
      <w:pPr>
        <w:widowControl/>
        <w:spacing w:line="440" w:lineRule="exact"/>
        <w:rPr>
          <w:rFonts w:ascii="宋体" w:hAnsi="宋体" w:eastAsia="宋体" w:cs="宋体"/>
          <w:color w:val="333333"/>
          <w:kern w:val="0"/>
          <w:sz w:val="24"/>
        </w:rPr>
      </w:pPr>
    </w:p>
    <w:p>
      <w:pPr>
        <w:widowControl/>
        <w:spacing w:line="440" w:lineRule="exact"/>
        <w:rPr>
          <w:rFonts w:ascii="宋体" w:hAnsi="宋体" w:eastAsia="宋体" w:cs="宋体"/>
          <w:color w:val="333333"/>
          <w:kern w:val="0"/>
          <w:sz w:val="24"/>
        </w:rPr>
      </w:pPr>
    </w:p>
    <w:p>
      <w:pPr>
        <w:widowControl/>
        <w:spacing w:line="440" w:lineRule="exact"/>
        <w:rPr>
          <w:rFonts w:ascii="宋体" w:hAnsi="宋体" w:eastAsia="宋体" w:cs="宋体"/>
          <w:color w:val="333333"/>
          <w:kern w:val="0"/>
          <w:sz w:val="24"/>
        </w:rPr>
      </w:pPr>
    </w:p>
    <w:p>
      <w:pPr>
        <w:widowControl/>
        <w:spacing w:line="440" w:lineRule="exact"/>
        <w:rPr>
          <w:rFonts w:ascii="宋体" w:hAnsi="宋体" w:eastAsia="宋体" w:cs="宋体"/>
          <w:color w:val="333333"/>
          <w:kern w:val="0"/>
          <w:sz w:val="24"/>
        </w:rPr>
      </w:pPr>
    </w:p>
    <w:p>
      <w:pPr>
        <w:widowControl/>
        <w:spacing w:line="440" w:lineRule="exact"/>
        <w:rPr>
          <w:rFonts w:ascii="宋体" w:hAnsi="宋体" w:eastAsia="宋体" w:cs="宋体"/>
          <w:color w:val="333333"/>
          <w:kern w:val="0"/>
          <w:sz w:val="24"/>
        </w:rPr>
      </w:pPr>
    </w:p>
    <w:p>
      <w:pPr>
        <w:widowControl/>
        <w:spacing w:line="440" w:lineRule="exact"/>
        <w:rPr>
          <w:rFonts w:ascii="宋体" w:hAnsi="宋体" w:eastAsia="宋体" w:cs="宋体"/>
          <w:color w:val="333333"/>
          <w:kern w:val="0"/>
          <w:sz w:val="24"/>
        </w:rPr>
      </w:pPr>
    </w:p>
    <w:p>
      <w:pPr>
        <w:widowControl/>
        <w:spacing w:line="440" w:lineRule="exact"/>
        <w:rPr>
          <w:rFonts w:ascii="宋体" w:hAnsi="宋体" w:eastAsia="宋体" w:cs="宋体"/>
          <w:color w:val="333333"/>
          <w:kern w:val="0"/>
          <w:sz w:val="24"/>
        </w:rPr>
      </w:pPr>
    </w:p>
    <w:p>
      <w:pPr>
        <w:widowControl/>
        <w:spacing w:line="440" w:lineRule="exact"/>
        <w:rPr>
          <w:rFonts w:ascii="宋体" w:hAnsi="宋体" w:eastAsia="宋体" w:cs="宋体"/>
          <w:color w:val="333333"/>
          <w:kern w:val="0"/>
          <w:sz w:val="24"/>
        </w:rPr>
      </w:pPr>
    </w:p>
    <w:p>
      <w:pPr>
        <w:widowControl/>
        <w:spacing w:line="440" w:lineRule="exact"/>
        <w:ind w:firstLine="480" w:firstLineChars="200"/>
        <w:rPr>
          <w:rFonts w:ascii="宋体" w:hAnsi="宋体" w:eastAsia="宋体" w:cs="宋体"/>
          <w:color w:val="333333"/>
          <w:kern w:val="0"/>
          <w:sz w:val="24"/>
        </w:rPr>
      </w:pPr>
    </w:p>
    <w:p>
      <w:pPr>
        <w:rPr>
          <w:rFonts w:ascii="Times New Roman" w:hAnsi="Times New Roman" w:eastAsia="黑体"/>
          <w:sz w:val="24"/>
        </w:rPr>
      </w:pPr>
      <w:r>
        <w:rPr>
          <w:rFonts w:ascii="Times New Roman" w:hAnsi="Times New Roman"/>
        </w:rPr>
        <w:pict>
          <v:shape id="自选图形 43" o:spid="_x0000_s1028" o:spt="32" type="#_x0000_t32" style="position:absolute;left:0pt;margin-left:-1.7pt;margin-top:6.55pt;height:1pt;width:432.1pt;z-index:251658240;mso-width-relative:page;mso-height-relative:page;" filled="f" stroked="t" coordsize="21600,21600" o:gfxdata="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T1Q&#10;/9kAAAAIAQAADwAAAAAAAAABACAAAAAiAAAAZHJzL2Rvd25yZXYueG1sUEsBAhQAFAAAAAgAh07i&#10;QJpsYmLoAQAAqgMAAA4AAAAAAAAAAQAgAAAAKAEAAGRycy9lMm9Eb2MueG1sUEsFBgAAAAAGAAYA&#10;WQEAAIIFAAAAAA==&#10;">
            <v:path arrowok="t"/>
            <v:fill on="f" focussize="0,0"/>
            <v:stroke weight="4pt" color="#FF0000"/>
            <v:imagedata o:title=""/>
            <o:lock v:ext="edit"/>
          </v:shape>
        </w:pict>
      </w:r>
    </w:p>
    <w:p>
      <w:pPr>
        <w:spacing w:line="520" w:lineRule="exact"/>
        <w:rPr>
          <w:rFonts w:ascii="Times New Roman" w:hAnsi="Times New Roman" w:eastAsia="黑体"/>
          <w:sz w:val="24"/>
        </w:rPr>
      </w:pPr>
      <w:r>
        <w:rPr>
          <w:rFonts w:ascii="Times New Roman" w:hAnsi="Times New Roman" w:eastAsia="黑体"/>
          <w:sz w:val="24"/>
        </w:rPr>
        <w:t>主办：信阳农林学院</w:t>
      </w:r>
      <w:r>
        <w:rPr>
          <w:rFonts w:hint="eastAsia" w:ascii="Times New Roman" w:hAnsi="Times New Roman" w:eastAsia="黑体"/>
          <w:sz w:val="24"/>
        </w:rPr>
        <w:t>发展规划处（高教研究所）</w:t>
      </w:r>
    </w:p>
    <w:p>
      <w:pPr>
        <w:spacing w:line="520" w:lineRule="exact"/>
        <w:rPr>
          <w:rFonts w:ascii="Times New Roman" w:hAnsi="Times New Roman" w:eastAsia="黑体"/>
          <w:sz w:val="24"/>
        </w:rPr>
      </w:pPr>
      <w:r>
        <w:rPr>
          <w:rFonts w:ascii="Times New Roman" w:hAnsi="Times New Roman" w:eastAsia="黑体"/>
          <w:sz w:val="24"/>
        </w:rPr>
        <w:t>编辑：</w:t>
      </w:r>
      <w:r>
        <w:rPr>
          <w:rFonts w:hint="eastAsia" w:ascii="Times New Roman" w:hAnsi="Times New Roman" w:eastAsia="黑体"/>
          <w:sz w:val="24"/>
        </w:rPr>
        <w:t>杨刚</w:t>
      </w:r>
      <w:r>
        <w:rPr>
          <w:rFonts w:ascii="Times New Roman" w:hAnsi="Times New Roman" w:eastAsia="黑体"/>
          <w:sz w:val="24"/>
        </w:rPr>
        <w:t xml:space="preserve"> </w:t>
      </w:r>
      <w:r>
        <w:rPr>
          <w:rFonts w:hint="eastAsia" w:ascii="Times New Roman" w:hAnsi="Times New Roman" w:eastAsia="黑体"/>
          <w:sz w:val="24"/>
        </w:rPr>
        <w:t>周俊 张兰兰</w:t>
      </w:r>
    </w:p>
    <w:p>
      <w:pPr>
        <w:spacing w:line="520" w:lineRule="exact"/>
        <w:rPr>
          <w:rFonts w:ascii="Times New Roman" w:hAnsi="Times New Roman" w:eastAsia="黑体"/>
          <w:sz w:val="24"/>
        </w:rPr>
      </w:pPr>
      <w:r>
        <w:rPr>
          <w:rFonts w:ascii="Times New Roman" w:hAnsi="Times New Roman" w:eastAsia="黑体"/>
          <w:sz w:val="24"/>
        </w:rPr>
        <w:t>审稿：</w:t>
      </w:r>
      <w:r>
        <w:rPr>
          <w:rFonts w:hint="eastAsia" w:ascii="Times New Roman" w:hAnsi="Times New Roman" w:eastAsia="黑体"/>
          <w:sz w:val="24"/>
        </w:rPr>
        <w:t>易明柏</w:t>
      </w:r>
      <w:r>
        <w:rPr>
          <w:rFonts w:ascii="Times New Roman" w:hAnsi="Times New Roman" w:eastAsia="黑体"/>
          <w:sz w:val="24"/>
        </w:rPr>
        <w:t xml:space="preserve"> </w:t>
      </w:r>
    </w:p>
    <w:p>
      <w:pPr>
        <w:spacing w:line="520" w:lineRule="exact"/>
        <w:rPr>
          <w:rFonts w:ascii="Times New Roman" w:hAnsi="Times New Roman" w:eastAsia="黑体"/>
          <w:sz w:val="24"/>
        </w:rPr>
      </w:pPr>
      <w:r>
        <w:rPr>
          <w:rFonts w:ascii="Times New Roman" w:hAnsi="Times New Roman" w:eastAsia="黑体"/>
          <w:sz w:val="24"/>
        </w:rPr>
        <w:t>通讯地址：河南省信阳市平桥区北环路1号       电话：0376-668</w:t>
      </w:r>
      <w:r>
        <w:rPr>
          <w:rFonts w:hint="eastAsia" w:ascii="Times New Roman" w:hAnsi="Times New Roman" w:eastAsia="黑体"/>
          <w:sz w:val="24"/>
        </w:rPr>
        <w:t>6859</w:t>
      </w:r>
    </w:p>
    <w:p>
      <w:pPr>
        <w:widowControl/>
        <w:spacing w:line="520" w:lineRule="exact"/>
        <w:jc w:val="left"/>
        <w:rPr>
          <w:rFonts w:ascii="Times New Roman" w:hAnsi="Times New Roman" w:eastAsia="黑体"/>
          <w:sz w:val="24"/>
        </w:rPr>
      </w:pPr>
      <w:r>
        <w:rPr>
          <w:rFonts w:ascii="Times New Roman" w:hAnsi="Times New Roman" w:eastAsia="黑体"/>
          <w:sz w:val="24"/>
        </w:rPr>
        <w:t>邮    编：464000                             邮箱：</w:t>
      </w:r>
      <w:r>
        <w:fldChar w:fldCharType="begin"/>
      </w:r>
      <w:r>
        <w:instrText xml:space="preserve"> HYPERLINK "mailto:275035267@qq.com" </w:instrText>
      </w:r>
      <w:r>
        <w:fldChar w:fldCharType="separate"/>
      </w:r>
      <w:r>
        <w:rPr>
          <w:rFonts w:hint="eastAsia" w:ascii="Times New Roman" w:hAnsi="Times New Roman" w:eastAsia="黑体"/>
          <w:sz w:val="24"/>
        </w:rPr>
        <w:t>zhlan101</w:t>
      </w:r>
      <w:r>
        <w:rPr>
          <w:rFonts w:ascii="Times New Roman" w:hAnsi="Times New Roman" w:eastAsia="黑体"/>
          <w:sz w:val="24"/>
        </w:rPr>
        <w:t>@</w:t>
      </w:r>
      <w:r>
        <w:rPr>
          <w:rFonts w:hint="eastAsia" w:ascii="Times New Roman" w:hAnsi="Times New Roman" w:eastAsia="黑体"/>
          <w:sz w:val="24"/>
        </w:rPr>
        <w:t>163</w:t>
      </w:r>
      <w:r>
        <w:rPr>
          <w:rFonts w:ascii="Times New Roman" w:hAnsi="Times New Roman" w:eastAsia="黑体"/>
          <w:sz w:val="24"/>
        </w:rPr>
        <w:t>.com</w:t>
      </w:r>
      <w:r>
        <w:rPr>
          <w:rFonts w:ascii="Times New Roman" w:hAnsi="Times New Roman" w:eastAsia="黑体"/>
          <w:sz w:val="24"/>
        </w:rPr>
        <w:fldChar w:fldCharType="end"/>
      </w:r>
      <w:r>
        <w:rPr>
          <w:rFonts w:ascii="Times New Roman" w:hAnsi="Times New Roman"/>
        </w:rPr>
        <w:pict>
          <v:shape id="_x0000_s1027" o:spid="_x0000_s1027" o:spt="32" type="#_x0000_t32" style="position:absolute;left:0pt;margin-left:-3.95pt;margin-top:29.7pt;height:1pt;width:432.1pt;z-index:251658240;mso-width-relative:page;mso-height-relative:page;" filled="f" stroked="t" coordsize="21600,21600" o:gfxdata="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Cm&#10;LNoAAAAIAQAADwAAAAAAAAABACAAAAAiAAAAZHJzL2Rvd25yZXYueG1sUEsBAhQAFAAAAAgAh07i&#10;QKnRvkPnAQAAqQMAAA4AAAAAAAAAAQAgAAAAKQEAAGRycy9lMm9Eb2MueG1sUEsFBgAAAAAGAAYA&#10;WQEAAIIFAAAAAA==&#10;">
            <v:path arrowok="t"/>
            <v:fill on="f" focussize="0,0"/>
            <v:stroke weight="4pt" color="#FF0000"/>
            <v:imagedata o:title=""/>
            <o:lock v:ext="edit"/>
          </v:shape>
        </w:pict>
      </w: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5495"/>
    <w:multiLevelType w:val="singleLevel"/>
    <w:tmpl w:val="19DC5495"/>
    <w:lvl w:ilvl="0" w:tentative="0">
      <w:start w:val="1"/>
      <w:numFmt w:val="bullet"/>
      <w:lvlText w:val=""/>
      <w:lvlJc w:val="left"/>
      <w:pPr>
        <w:ind w:left="420" w:hanging="420"/>
      </w:pPr>
      <w:rPr>
        <w:rFonts w:hint="default" w:ascii="Wingdings" w:hAnsi="Wingdings"/>
      </w:rPr>
    </w:lvl>
  </w:abstractNum>
  <w:abstractNum w:abstractNumId="1">
    <w:nsid w:val="36D867B8"/>
    <w:multiLevelType w:val="singleLevel"/>
    <w:tmpl w:val="36D867B8"/>
    <w:lvl w:ilvl="0" w:tentative="0">
      <w:start w:val="1"/>
      <w:numFmt w:val="bullet"/>
      <w:lvlText w:val=""/>
      <w:lvlJc w:val="left"/>
      <w:pPr>
        <w:ind w:left="420" w:hanging="420"/>
      </w:pPr>
      <w:rPr>
        <w:rFonts w:hint="default" w:ascii="Wingdings" w:hAnsi="Wingdings"/>
      </w:rPr>
    </w:lvl>
  </w:abstractNum>
  <w:abstractNum w:abstractNumId="2">
    <w:nsid w:val="42114EAD"/>
    <w:multiLevelType w:val="singleLevel"/>
    <w:tmpl w:val="42114EAD"/>
    <w:lvl w:ilvl="0" w:tentative="0">
      <w:start w:val="1"/>
      <w:numFmt w:val="bullet"/>
      <w:lvlText w:val=""/>
      <w:lvlJc w:val="left"/>
      <w:pPr>
        <w:ind w:left="420" w:hanging="420"/>
      </w:pPr>
      <w:rPr>
        <w:rFonts w:hint="default" w:ascii="Wingdings" w:hAnsi="Wingdings"/>
      </w:rPr>
    </w:lvl>
  </w:abstractNum>
  <w:abstractNum w:abstractNumId="3">
    <w:nsid w:val="59C329D3"/>
    <w:multiLevelType w:val="singleLevel"/>
    <w:tmpl w:val="59C329D3"/>
    <w:lvl w:ilvl="0" w:tentative="0">
      <w:start w:val="1"/>
      <w:numFmt w:val="bullet"/>
      <w:lvlText w:val=""/>
      <w:lvlJc w:val="left"/>
      <w:pPr>
        <w:ind w:left="420" w:hanging="420"/>
      </w:pPr>
      <w:rPr>
        <w:rFonts w:hint="default" w:ascii="Wingdings" w:hAnsi="Wingdings"/>
      </w:rPr>
    </w:lvl>
  </w:abstractNum>
  <w:abstractNum w:abstractNumId="4">
    <w:nsid w:val="7FDFE656"/>
    <w:multiLevelType w:val="singleLevel"/>
    <w:tmpl w:val="7FDFE656"/>
    <w:lvl w:ilvl="0" w:tentative="0">
      <w:start w:val="1"/>
      <w:numFmt w:val="bullet"/>
      <w:lvlText w:val=""/>
      <w:lvlJc w:val="left"/>
      <w:pPr>
        <w:ind w:left="420" w:hanging="42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65600AA"/>
    <w:rsid w:val="00A2321C"/>
    <w:rsid w:val="00A4051D"/>
    <w:rsid w:val="155B4A5A"/>
    <w:rsid w:val="1754666E"/>
    <w:rsid w:val="1D411380"/>
    <w:rsid w:val="2DAB781F"/>
    <w:rsid w:val="3C221B7F"/>
    <w:rsid w:val="40BA29F0"/>
    <w:rsid w:val="451216C1"/>
    <w:rsid w:val="465600AA"/>
    <w:rsid w:val="5DFC202A"/>
    <w:rsid w:val="691B2423"/>
    <w:rsid w:val="6D883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自选图形 4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yperlink"/>
    <w:basedOn w:val="9"/>
    <w:qFormat/>
    <w:uiPriority w:val="0"/>
    <w:rPr>
      <w:color w:val="333333"/>
      <w:u w:val="none"/>
    </w:rPr>
  </w:style>
  <w:style w:type="paragraph" w:customStyle="1" w:styleId="15">
    <w:name w:val="page_title"/>
    <w:basedOn w:val="1"/>
    <w:qFormat/>
    <w:uiPriority w:val="0"/>
    <w:pPr>
      <w:spacing w:before="150" w:line="600" w:lineRule="atLeast"/>
      <w:jc w:val="center"/>
    </w:pPr>
    <w:rPr>
      <w:rFonts w:ascii="黑体" w:hAnsi="宋体" w:eastAsia="黑体" w:cs="Times New Roman"/>
      <w:color w:val="333333"/>
      <w:kern w:val="0"/>
      <w:sz w:val="37"/>
      <w:szCs w:val="37"/>
    </w:rPr>
  </w:style>
  <w:style w:type="character" w:customStyle="1" w:styleId="16">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13</Pages>
  <Words>7045</Words>
  <Characters>1875</Characters>
  <Lines>15</Lines>
  <Paragraphs>17</Paragraphs>
  <TotalTime>0</TotalTime>
  <ScaleCrop>false</ScaleCrop>
  <LinksUpToDate>false</LinksUpToDate>
  <CharactersWithSpaces>8903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2018-03-19T03:17:00Z</dcterms:created>
  <dc:creator>迅速N了</dc:creator>
  <cp:lastModifiedBy>迅速N了</cp:lastModifiedBy>
  <cp:lastPrinted>2018-03-22T03:25:00Z</cp:lastPrinted>
  <dcterms:modified xsi:type="dcterms:W3CDTF">2018-03-22T03:51:42Z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