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13932" w:type="dxa"/>
        <w:jc w:val="center"/>
        <w:tblLook w:val="000000" w:firstRow="0" w:lastRow="0" w:firstColumn="0" w:lastColumn="0" w:noHBand="0" w:noVBand="0"/>
        <w:tblLayout w:type="fixed"/>
      </w:tblPr>
      <w:tblGrid>
        <w:gridCol w:w="1556"/>
        <w:gridCol w:w="6750"/>
        <w:gridCol w:w="1110"/>
        <w:gridCol w:w="1593"/>
        <w:gridCol w:w="2923"/>
      </w:tblGrid>
      <w:tr>
        <w:trPr>
          <w:cnfStyle w:val="000000100000" w:firstRow="0" w:lastRow="0" w:firstColumn="0" w:lastColumn="0" w:oddVBand="0" w:evenVBand="0" w:oddHBand="1" w:evenHBand="0" w:firstRowFirstColumn="0" w:firstRowLastColumn="0" w:lastRowFirstColumn="0" w:lastRowLastColumn="0"/>
          <w:trHeight w:hRule="atleast" w:val="794"/>
          <w:cantSplit/>
        </w:trPr>
        <w:tc>
          <w:tcPr>
            <w:tcW w:type="dxa" w:w="13932"/>
            <w:cnfStyle w:val="000010100000" w:firstRow="0" w:lastRow="0" w:firstColumn="0" w:lastColumn="0" w:oddVBand="1" w:evenVBand="0" w:oddHBand="1" w:evenHBand="0" w:firstRowFirstColumn="0" w:firstRowLastColumn="0" w:lastRowFirstColumn="0" w:lastRowLastColumn="0"/>
            <w:vAlign w:val="center"/>
            <w:gridSpan w:val="5"/>
            <w:tcBorders>
              <w:left w:val="nil" w:color="auto"/>
              <w:right w:val="nil" w:color="auto"/>
              <w:top w:val="nil" w:color="auto"/>
            </w:tcBorders>
            <w:shd w:val="clear" w:color="000000"/>
          </w:tcPr>
          <w:p>
            <w:pPr>
              <w:jc w:val="center"/>
              <w:spacing w:lineRule="auto" w:line="360"/>
              <w:ind w:right="1320" w:firstLine="0"/>
              <w:rPr>
                <w:b w:val="1"/>
                <w:sz w:val="36"/>
                <w:szCs w:val="36"/>
                <w:rFonts w:ascii="华文仿宋" w:eastAsia="华文仿宋" w:hAnsi="华文仿宋" w:cs="华文仿宋" w:hint="eastAsia"/>
              </w:rPr>
              <w:snapToGrid w:val="off"/>
            </w:pPr>
            <w:r>
              <w:rPr>
                <w:b w:val="1"/>
                <w:sz w:val="36"/>
                <w:szCs w:val="36"/>
                <w:rFonts w:ascii="华文仿宋" w:eastAsia="华文仿宋" w:hAnsi="华文仿宋" w:cs="华文仿宋" w:hint="eastAsia"/>
              </w:rPr>
              <w:t>信阳农林学院201</w:t>
            </w:r>
            <w:r>
              <w:rPr>
                <w:b w:val="1"/>
                <w:sz w:val="36"/>
                <w:szCs w:val="36"/>
                <w:rFonts w:ascii="华文仿宋" w:eastAsia="华文仿宋" w:hAnsi="华文仿宋" w:cs="华文仿宋" w:hint="eastAsia"/>
                <w:lang w:eastAsia="zh-CN" w:val="en-US"/>
              </w:rPr>
              <w:t>9</w:t>
            </w:r>
            <w:r>
              <w:rPr>
                <w:b w:val="1"/>
                <w:sz w:val="36"/>
                <w:szCs w:val="36"/>
                <w:rFonts w:ascii="华文仿宋" w:eastAsia="华文仿宋" w:hAnsi="华文仿宋" w:cs="华文仿宋" w:hint="eastAsia"/>
              </w:rPr>
              <w:t>年</w:t>
            </w:r>
            <w:r>
              <w:rPr>
                <w:b w:val="1"/>
                <w:sz w:val="36"/>
                <w:szCs w:val="36"/>
                <w:rFonts w:ascii="华文仿宋" w:eastAsia="华文仿宋" w:hAnsi="华文仿宋" w:cs="华文仿宋" w:hint="eastAsia"/>
                <w:lang w:eastAsia="zh-CN"/>
              </w:rPr>
              <w:t>校级</w:t>
            </w:r>
            <w:r>
              <w:rPr>
                <w:b w:val="1"/>
                <w:sz w:val="36"/>
                <w:szCs w:val="36"/>
                <w:rFonts w:ascii="华文仿宋" w:eastAsia="华文仿宋" w:hAnsi="华文仿宋" w:cs="华文仿宋" w:hint="eastAsia"/>
              </w:rPr>
              <w:t>教研项目</w:t>
            </w:r>
            <w:r>
              <w:rPr>
                <w:b w:val="1"/>
                <w:sz w:val="36"/>
                <w:szCs w:val="36"/>
                <w:rFonts w:ascii="华文仿宋" w:eastAsia="华文仿宋" w:hAnsi="华文仿宋" w:cs="华文仿宋" w:hint="eastAsia"/>
                <w:lang w:eastAsia="zh-CN"/>
              </w:rPr>
              <w:t>鉴定结果</w:t>
            </w:r>
            <w:r>
              <w:rPr>
                <w:b w:val="1"/>
                <w:sz w:val="36"/>
                <w:szCs w:val="36"/>
                <w:rFonts w:ascii="华文仿宋" w:eastAsia="华文仿宋" w:hAnsi="华文仿宋" w:cs="华文仿宋" w:hint="eastAsia"/>
              </w:rPr>
              <w:t>一览表</w:t>
            </w:r>
          </w:p>
        </w:tc>
      </w:tr>
      <w:tr>
        <w:trPr>
          <w:cnfStyle w:val="000000010000" w:firstRow="0" w:lastRow="0" w:firstColumn="0" w:lastColumn="0" w:oddVBand="0" w:evenVBand="0" w:oddHBand="0" w:evenHBand="1" w:firstRowFirstColumn="0" w:firstRowLastColumn="0" w:lastRowFirstColumn="0" w:lastRowLastColumn="0"/>
          <w:trHeight w:hRule="exact" w:val="850"/>
          <w:cantSplit/>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jc w:val="center"/>
              <w:rPr>
                <w:b w:val="1"/>
                <w:sz w:val="21"/>
                <w:szCs w:val="21"/>
                <w:rFonts w:ascii="宋体" w:eastAsia="宋体" w:hAnsi="宋体" w:cs="宋体" w:hint="eastAsia"/>
              </w:rPr>
            </w:pPr>
          </w:p>
          <w:p>
            <w:pPr>
              <w:jc w:val="center"/>
              <w:rPr>
                <w:b w:val="1"/>
                <w:sz w:val="21"/>
                <w:szCs w:val="21"/>
                <w:rFonts w:ascii="宋体" w:eastAsia="宋体" w:hAnsi="宋体" w:cs="宋体" w:hint="eastAsia"/>
              </w:rPr>
            </w:pPr>
            <w:r>
              <w:rPr>
                <w:b w:val="1"/>
                <w:sz w:val="21"/>
                <w:szCs w:val="21"/>
                <w:rFonts w:ascii="宋体" w:eastAsia="宋体" w:hAnsi="宋体" w:cs="宋体" w:hint="eastAsia"/>
                <w:lang w:eastAsia="zh-CN"/>
              </w:rPr>
              <w:t>项目编</w:t>
            </w:r>
            <w:r>
              <w:rPr>
                <w:b w:val="1"/>
                <w:sz w:val="21"/>
                <w:szCs w:val="21"/>
                <w:rFonts w:ascii="宋体" w:eastAsia="宋体" w:hAnsi="宋体" w:cs="宋体" w:hint="eastAsia"/>
              </w:rPr>
              <w:t>号</w:t>
            </w:r>
          </w:p>
          <w:p>
            <w:pPr>
              <w:jc w:val="center"/>
              <w:rPr>
                <w:b w:val="1"/>
                <w:sz w:val="21"/>
                <w:szCs w:val="21"/>
                <w:rFonts w:ascii="宋体" w:eastAsia="宋体" w:hAnsi="宋体" w:cs="宋体" w:hint="eastAsia"/>
              </w:rPr>
            </w:pPr>
          </w:p>
        </w:tc>
        <w:tc>
          <w:tcPr>
            <w:tcW w:type="dxa" w:w="6750"/>
            <w:cnfStyle w:val="000001010000" w:firstRow="0" w:lastRow="0" w:firstColumn="0" w:lastColumn="0" w:oddVBand="0" w:evenVBand="1" w:oddHBand="0" w:evenHBand="1" w:firstRowFirstColumn="0" w:firstRowLastColumn="0" w:lastRowFirstColumn="0" w:lastRowLastColumn="0"/>
            <w:vAlign w:val="center"/>
          </w:tcPr>
          <w:p>
            <w:pPr>
              <w:jc w:val="center"/>
              <w:rPr>
                <w:b w:val="1"/>
                <w:sz w:val="21"/>
                <w:szCs w:val="21"/>
                <w:rFonts w:ascii="宋体" w:eastAsia="宋体" w:hAnsi="宋体" w:cs="宋体" w:hint="eastAsia"/>
              </w:rPr>
            </w:pPr>
            <w:r>
              <w:rPr>
                <w:b w:val="1"/>
                <w:sz w:val="21"/>
                <w:szCs w:val="21"/>
                <w:rFonts w:ascii="宋体" w:eastAsia="宋体" w:hAnsi="宋体" w:cs="宋体" w:hint="eastAsia"/>
              </w:rPr>
              <w:t>项目名称</w:t>
            </w:r>
          </w:p>
        </w:tc>
        <w:tc>
          <w:tcPr>
            <w:tcW w:type="dxa" w:w="1110"/>
            <w:cnfStyle w:val="000010010000" w:firstRow="0" w:lastRow="0" w:firstColumn="0" w:lastColumn="0" w:oddVBand="1" w:evenVBand="0" w:oddHBand="0" w:evenHBand="1" w:firstRowFirstColumn="0" w:firstRowLastColumn="0" w:lastRowFirstColumn="0" w:lastRowLastColumn="0"/>
            <w:vAlign w:val="center"/>
          </w:tcPr>
          <w:p>
            <w:pPr>
              <w:jc w:val="center"/>
              <w:rPr>
                <w:b w:val="1"/>
                <w:sz w:val="21"/>
                <w:szCs w:val="21"/>
                <w:rFonts w:ascii="宋体" w:eastAsia="宋体" w:hAnsi="宋体" w:cs="宋体" w:hint="eastAsia"/>
              </w:rPr>
            </w:pPr>
            <w:r>
              <w:rPr>
                <w:b w:val="1"/>
                <w:sz w:val="21"/>
                <w:szCs w:val="21"/>
                <w:rFonts w:ascii="宋体" w:eastAsia="宋体" w:hAnsi="宋体" w:cs="宋体" w:hint="eastAsia"/>
              </w:rPr>
              <w:t>主持人</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jc w:val="center"/>
              <w:rPr>
                <w:b w:val="1"/>
                <w:sz w:val="21"/>
                <w:szCs w:val="21"/>
                <w:rFonts w:ascii="宋体" w:eastAsia="宋体" w:hAnsi="宋体" w:cs="宋体" w:hint="eastAsia"/>
              </w:rPr>
            </w:pPr>
            <w:r>
              <w:rPr>
                <w:b w:val="1"/>
                <w:sz w:val="21"/>
                <w:szCs w:val="21"/>
                <w:rFonts w:ascii="宋体" w:eastAsia="宋体" w:hAnsi="宋体" w:cs="宋体" w:hint="eastAsia"/>
              </w:rPr>
              <w:t>类别</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jc w:val="center"/>
              <w:rPr>
                <w:b w:val="1"/>
                <w:sz w:val="21"/>
                <w:szCs w:val="21"/>
                <w:rFonts w:ascii="宋体" w:eastAsia="宋体" w:hAnsi="宋体" w:cs="宋体" w:hint="eastAsia"/>
                <w:lang w:eastAsia="zh-CN"/>
              </w:rPr>
            </w:pPr>
            <w:r>
              <w:rPr>
                <w:b w:val="1"/>
                <w:sz w:val="21"/>
                <w:szCs w:val="21"/>
                <w:rFonts w:ascii="宋体" w:eastAsia="宋体" w:hAnsi="宋体" w:cs="宋体" w:hint="eastAsia"/>
                <w:lang w:eastAsia="zh-CN"/>
              </w:rPr>
              <w:t>专家鉴定委员会鉴定结论</w:t>
            </w:r>
          </w:p>
          <w:p>
            <w:pPr>
              <w:jc w:val="center"/>
              <w:rPr>
                <w:b w:val="1"/>
                <w:sz w:val="21"/>
                <w:szCs w:val="21"/>
                <w:rFonts w:ascii="宋体" w:eastAsia="宋体" w:hAnsi="宋体" w:cs="宋体" w:hint="default"/>
                <w:lang w:eastAsia="zh-CN" w:val="en-US"/>
              </w:rPr>
            </w:pPr>
            <w:r>
              <w:rPr>
                <w:b w:val="1"/>
                <w:sz w:val="21"/>
                <w:szCs w:val="21"/>
                <w:rFonts w:ascii="宋体" w:eastAsia="宋体" w:hAnsi="宋体" w:cs="宋体" w:hint="eastAsia"/>
                <w:lang w:eastAsia="zh-CN"/>
              </w:rPr>
              <w:t>（</w:t>
            </w:r>
            <w:r>
              <w:rPr>
                <w:b w:val="1"/>
                <w:sz w:val="21"/>
                <w:szCs w:val="21"/>
                <w:rFonts w:ascii="宋体" w:eastAsia="宋体" w:hAnsi="宋体" w:cs="宋体" w:hint="eastAsia"/>
                <w:lang w:eastAsia="zh-CN" w:val="en-US"/>
              </w:rPr>
              <w:t>通过/不通过</w:t>
            </w:r>
            <w:r>
              <w:rPr>
                <w:b w:val="1"/>
                <w:sz w:val="21"/>
                <w:szCs w:val="21"/>
                <w:rFonts w:ascii="宋体" w:eastAsia="宋体" w:hAnsi="宋体" w:cs="宋体" w:hint="eastAsia"/>
                <w:lang w:eastAsia="zh-CN"/>
              </w:rPr>
              <w:t>）</w:t>
            </w:r>
          </w:p>
        </w:tc>
      </w:tr>
      <w:tr>
        <w:trPr>
          <w:cnfStyle w:val="000000100000" w:firstRow="0" w:lastRow="0" w:firstColumn="0" w:lastColumn="0" w:oddVBand="0" w:evenVBand="0" w:oddHBand="1" w:evenHBand="0" w:firstRowFirstColumn="0" w:firstRowLastColumn="0" w:lastRowFirstColumn="0" w:lastRowLastColumn="0"/>
          <w:trHeight w:hRule="exact" w:val="567"/>
          <w:cantSplit/>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both"/>
              <w:spacing w:lineRule="exact" w:line="320"/>
              <w:pageBreakBefore w:val="0"/>
              <w:ind w:firstLine="0"/>
              <w:rPr>
                <w:b w:val="1"/>
                <w:sz w:val="21"/>
                <w:szCs w:val="21"/>
                <w:rFonts w:ascii="宋体" w:eastAsia="宋体" w:hAnsi="宋体" w:cs="宋体" w:hint="eastAsia"/>
              </w:rPr>
              <w:wordWrap w:val="off"/>
              <w:autoSpaceDE w:val="1"/>
              <w:autoSpaceDN w:val="1"/>
            </w:pPr>
            <w:r>
              <w:rPr>
                <w:sz w:val="21"/>
                <w:szCs w:val="21"/>
                <w:rFonts w:ascii="宋体" w:eastAsia="宋体" w:hAnsi="宋体" w:cs="宋体" w:hint="eastAsia"/>
              </w:rPr>
              <w:t>2016XJGLX03</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snapToGrid w:val="off"/>
              <w:autoSpaceDE w:val="1"/>
              <w:autoSpaceDN w:val="1"/>
            </w:pPr>
            <w:r>
              <w:rPr>
                <w:sz w:val="21"/>
                <w:szCs w:val="21"/>
                <w:rFonts w:ascii="宋体" w:eastAsia="宋体" w:hAnsi="宋体" w:cs="宋体" w:hint="eastAsia"/>
              </w:rPr>
              <w:t>基于应用能力培养的茶学专业人才培养目标与课程体系改革研究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郭桂义</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cantSplit/>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b w:val="1"/>
                <w:sz w:val="21"/>
                <w:szCs w:val="21"/>
                <w:rFonts w:ascii="宋体" w:eastAsia="宋体" w:hAnsi="宋体" w:cs="宋体" w:hint="eastAsia"/>
              </w:rPr>
              <w:wordWrap w:val="off"/>
              <w:autoSpaceDE w:val="1"/>
              <w:autoSpaceDN w:val="1"/>
            </w:pPr>
            <w:r>
              <w:rPr>
                <w:sz w:val="21"/>
                <w:szCs w:val="21"/>
                <w:rFonts w:ascii="宋体" w:eastAsia="宋体" w:hAnsi="宋体" w:cs="宋体" w:hint="eastAsia"/>
              </w:rPr>
              <w:t>2016XJGLX17</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应用型本科《家畜环境卫生学》课程教学改革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赵云焕</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cantSplit/>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b w:val="1"/>
                <w:sz w:val="21"/>
                <w:szCs w:val="21"/>
                <w:rFonts w:ascii="宋体" w:eastAsia="宋体" w:hAnsi="宋体" w:cs="宋体" w:hint="eastAsia"/>
              </w:rPr>
              <w:wordWrap w:val="off"/>
              <w:autoSpaceDE w:val="1"/>
              <w:autoSpaceDN w:val="1"/>
            </w:pPr>
            <w:r>
              <w:rPr>
                <w:sz w:val="21"/>
                <w:szCs w:val="21"/>
                <w:rFonts w:ascii="宋体" w:eastAsia="宋体" w:hAnsi="宋体" w:cs="宋体" w:hint="eastAsia"/>
              </w:rPr>
              <w:t>2016XJGLX21</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 xml:space="preserve">微信及微信公众平台在《茶学概论》课程教学中的探索及应用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王子浩</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jc w:val="center"/>
              <w:spacing w:lineRule="exact" w:line="400"/>
              <w:pageBreakBefore w:val="0"/>
              <w:rPr>
                <w:sz w:val="21"/>
                <w:szCs w:val="21"/>
                <w:rFonts w:ascii="宋体" w:eastAsia="宋体" w:hAnsi="宋体" w:cs="宋体" w:hint="eastAsia"/>
              </w:rPr>
              <w:wordWrap w:val="off"/>
              <w:snapToGrid w:val="on"/>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cantSplit/>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b w:val="1"/>
                <w:sz w:val="21"/>
                <w:szCs w:val="21"/>
                <w:rFonts w:ascii="宋体" w:eastAsia="宋体" w:hAnsi="宋体" w:cs="宋体" w:hint="eastAsia"/>
              </w:rPr>
              <w:wordWrap w:val="off"/>
              <w:autoSpaceDE w:val="1"/>
              <w:autoSpaceDN w:val="1"/>
            </w:pPr>
            <w:r>
              <w:rPr>
                <w:sz w:val="21"/>
                <w:szCs w:val="21"/>
                <w:rFonts w:ascii="宋体" w:eastAsia="宋体" w:hAnsi="宋体" w:cs="宋体" w:hint="eastAsia"/>
              </w:rPr>
              <w:t>2016XJGLX24</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基于MOOC背景下的《鱼类学》教学改革研究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黄荣静</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exact" w:line="400"/>
              <w:pageBreakBefore w:val="0"/>
              <w:ind w:right="0" w:firstLine="0"/>
              <w:rPr>
                <w:sz w:val="21"/>
                <w:szCs w:val="21"/>
                <w:rFonts w:ascii="宋体" w:eastAsia="宋体" w:hAnsi="宋体" w:cs="宋体" w:hint="eastAsia"/>
              </w:rPr>
              <w:wordWrap w:val="off"/>
              <w:snapToGrid w:val="on"/>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cantSplit/>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2016XJGLX3</w:t>
            </w:r>
            <w:r>
              <w:rPr>
                <w:color w:val="000000" w:themeColor="text1"/>
                <w:sz w:val="21"/>
                <w:szCs w:val="21"/>
                <w14:textFill>
                  <w14:solidFill>
                    <w14:schemeClr w14:val="tx1"/>
                  </w14:solidFill>
                </w14:textFill>
                <w:rFonts w:ascii="宋体" w:eastAsia="宋体" w:hAnsi="宋体" w:cs="宋体" w:hint="eastAsia"/>
                <w:lang w:eastAsia="zh-CN" w:val="en-US"/>
              </w:rPr>
              <w:t>4</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应用型本科院校药用植物学课程教学模式改革研究</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张艳玲</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exact" w:line="400"/>
              <w:pageBreakBefore w:val="0"/>
              <w:ind w:right="0" w:firstLine="0"/>
              <w:rPr>
                <w:sz w:val="21"/>
                <w:szCs w:val="21"/>
                <w:rFonts w:ascii="宋体" w:eastAsia="宋体" w:hAnsi="宋体" w:cs="宋体" w:hint="eastAsia"/>
              </w:rPr>
              <w:wordWrap w:val="off"/>
              <w:snapToGrid w:val="on"/>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cantSplit/>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snapToGrid w:val="on"/>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44</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snapToGrid w:val="on"/>
              <w:autoSpaceDE w:val="1"/>
              <w:autoSpaceDN w:val="1"/>
            </w:pPr>
            <w:r>
              <w:rPr>
                <w:color w:val="000000" w:themeColor="text1"/>
                <w:sz w:val="21"/>
                <w:szCs w:val="21"/>
                <w14:textFill>
                  <w14:solidFill>
                    <w14:schemeClr w14:val="tx1"/>
                  </w14:solidFill>
                </w14:textFill>
                <w:rFonts w:ascii="宋体" w:eastAsia="宋体" w:hAnsi="宋体" w:cs="宋体" w:hint="eastAsia"/>
              </w:rPr>
              <w:t>应用型本科院校《园艺植物育种学》课程实践教学模式改革研究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snapToGrid w:val="on"/>
              <w:autoSpaceDE w:val="1"/>
              <w:autoSpaceDN w:val="1"/>
            </w:pPr>
            <w:r>
              <w:rPr>
                <w:color w:val="000000" w:themeColor="text1"/>
                <w:sz w:val="21"/>
                <w:szCs w:val="21"/>
                <w14:textFill>
                  <w14:solidFill>
                    <w14:schemeClr w14:val="tx1"/>
                  </w14:solidFill>
                </w14:textFill>
                <w:rFonts w:ascii="宋体" w:eastAsia="宋体" w:hAnsi="宋体" w:cs="宋体" w:hint="eastAsia"/>
              </w:rPr>
              <w:t>刘松虎</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校级指导项目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jc w:val="center"/>
              <w:spacing w:lineRule="auto" w:line="600"/>
              <w:pageBreakBefore w:val="0"/>
              <w:rPr>
                <w:sz w:val="21"/>
                <w:szCs w:val="21"/>
                <w:rFonts w:ascii="宋体" w:eastAsia="宋体" w:hAnsi="宋体" w:cs="宋体" w:hint="eastAsia"/>
                <w:lang w:eastAsia="zh-CN"/>
              </w:rPr>
              <w:wordWrap w:val="off"/>
              <w:snapToGrid w:val="on"/>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cantSplit/>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49</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numPr>
                <w:ilvl w:val="0"/>
                <w:numId w:val="0"/>
              </w:numPr>
              <w:jc w:val="both"/>
              <w:spacing w:lineRule="exact" w:line="320"/>
              <w:pageBreakBefore w:val="0"/>
              <w:ind w:right="0" w:firstLine="0" w:leftChars="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lang w:eastAsia="zh-CN" w:val="en-US"/>
              </w:rPr>
              <w:t xml:space="preserve">校企双导师制联合指导应用型本科毕业设计（论文）的探索与实践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lang w:eastAsia="zh-CN" w:val="en-US"/>
              </w:rPr>
              <w:t>周本翔</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上一轮延期</w:t>
            </w:r>
          </w:p>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lang w:eastAsia="zh-CN"/>
              </w:rPr>
              <w:t>鉴定项目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2016XJGLX07</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新建地方本科院校酒店管理专业实践教学体系研究与构建</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陈婷</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2016XJGLX12</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应用型本科院校城乡规划专业美术课程中实践教学模式的研究与构建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孙征</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2016XJGLX15</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应用型本科院校开展开放式实验教学的探索与应用</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王家东</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2016XJGLX16</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应用型本科院校农林财经专业实践教学模式的研究与构建</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张立恒</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2016XJGLX25</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通识教育视角下的金融理财教育教学体系建设研究</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谭少鹏</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2016XJGLX3</w:t>
            </w:r>
            <w:r>
              <w:rPr>
                <w:color w:val="000000" w:themeColor="text1"/>
                <w:sz w:val="21"/>
                <w:szCs w:val="21"/>
                <w14:textFill>
                  <w14:solidFill>
                    <w14:schemeClr w14:val="tx1"/>
                  </w14:solidFill>
                </w14:textFill>
                <w:rFonts w:ascii="宋体" w:eastAsia="宋体" w:hAnsi="宋体" w:cs="宋体" w:hint="eastAsia"/>
                <w:lang w:eastAsia="zh-CN" w:val="en-US"/>
              </w:rPr>
              <w:t>1</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应用型本科院校计算机软件类课程教学模式改革研究</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侯丽萍</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2016XJGLX3</w:t>
            </w:r>
            <w:r>
              <w:rPr>
                <w:color w:val="000000" w:themeColor="text1"/>
                <w:sz w:val="21"/>
                <w:szCs w:val="21"/>
                <w14:textFill>
                  <w14:solidFill>
                    <w14:schemeClr w14:val="tx1"/>
                  </w14:solidFill>
                </w14:textFill>
                <w:rFonts w:ascii="宋体" w:eastAsia="宋体" w:hAnsi="宋体" w:cs="宋体" w:hint="eastAsia"/>
                <w:lang w:eastAsia="zh-CN" w:val="en-US"/>
              </w:rPr>
              <w:t>3</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应用型本科院校电子技术类课程教学模式改革研究</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朱猛</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校级指导项目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2016XJGLX3</w:t>
            </w:r>
            <w:r>
              <w:rPr>
                <w:color w:val="000000" w:themeColor="text1"/>
                <w:sz w:val="21"/>
                <w:szCs w:val="21"/>
                <w14:textFill>
                  <w14:solidFill>
                    <w14:schemeClr w14:val="tx1"/>
                  </w14:solidFill>
                </w14:textFill>
                <w:rFonts w:ascii="宋体" w:eastAsia="宋体" w:hAnsi="宋体" w:cs="宋体" w:hint="eastAsia"/>
                <w:lang w:eastAsia="zh-CN" w:val="en-US"/>
              </w:rPr>
              <w:t>8</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新建地方本科院校电子商务专业实践教学体系研究与构建</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张世军</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40</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应用型本科院校计算机基础课程教学改革研究</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吴海燕</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校级指导项目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45</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sz w:val="21"/>
                <w:szCs w:val="21"/>
                <w:rFonts w:ascii="宋体" w:eastAsia="宋体" w:hAnsi="宋体" w:cs="宋体" w:hint="eastAsia"/>
              </w:rPr>
              <w:t>应用型本科院校市场营销专业实践教学模式的研究与构建</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霍玉璨</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48</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numPr>
                <w:ilvl w:val="0"/>
                <w:numId w:val="0"/>
              </w:numPr>
              <w:jc w:val="both"/>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n"/>
              <w:autoSpaceDE w:val="1"/>
              <w:autoSpaceDN w:val="1"/>
            </w:pPr>
            <w:r>
              <w:rPr>
                <w:color w:val="000000" w:themeColor="text1"/>
                <w:sz w:val="21"/>
                <w:szCs w:val="21"/>
                <w14:textFill>
                  <w14:solidFill>
                    <w14:schemeClr w14:val="tx1"/>
                  </w14:solidFill>
                </w14:textFill>
                <w:rFonts w:ascii="宋体" w:eastAsia="宋体" w:hAnsi="宋体" w:cs="宋体" w:hint="eastAsia"/>
                <w:lang w:eastAsia="zh-CN" w:val="en-US"/>
              </w:rPr>
              <w:t>基于学生满意度的高校教学效果评价体系——以信阳农林学院为例</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lang w:eastAsia="zh-CN" w:val="en-US"/>
              </w:rPr>
              <w:t>张欢欢</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snapToGrid w:val="on"/>
              <w:autoSpaceDE w:val="1"/>
              <w:autoSpaceDN w:val="1"/>
            </w:pPr>
            <w:r>
              <w:rPr>
                <w:sz w:val="21"/>
                <w:szCs w:val="21"/>
                <w:rFonts w:ascii="宋体" w:eastAsia="宋体" w:hAnsi="宋体" w:cs="宋体" w:hint="eastAsia"/>
                <w:lang w:eastAsia="zh-CN"/>
              </w:rPr>
              <w:t>上一轮延期</w:t>
            </w:r>
          </w:p>
          <w:p>
            <w:pPr>
              <w:bidi w:val="0"/>
              <w:jc w:val="center"/>
              <w:spacing w:lineRule="exact" w:line="320"/>
              <w:pageBreakBefore w:val="0"/>
              <w:rPr>
                <w:sz w:val="21"/>
                <w:szCs w:val="21"/>
                <w:rFonts w:ascii="宋体" w:eastAsia="宋体" w:hAnsi="宋体" w:cs="宋体" w:hint="eastAsia"/>
                <w:lang w:eastAsia="zh-CN"/>
              </w:rPr>
              <w:wordWrap w:val="off"/>
              <w:snapToGrid w:val="on"/>
              <w:autoSpaceDE w:val="1"/>
              <w:autoSpaceDN w:val="1"/>
            </w:pPr>
            <w:r>
              <w:rPr>
                <w:sz w:val="21"/>
                <w:szCs w:val="21"/>
                <w:rFonts w:ascii="宋体" w:eastAsia="宋体" w:hAnsi="宋体" w:cs="宋体" w:hint="eastAsia"/>
                <w:lang w:eastAsia="zh-CN"/>
              </w:rPr>
              <w:t>鉴定项目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2016XJGLX05</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信阳农林学院通识课程在线教学的应用研究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张淮</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2016XJGLX08</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思想政治理论课“专题教学·网络互动·实践体验”教学模式改革研究</w:t>
            </w:r>
            <w:r>
              <w:rPr>
                <w:sz w:val="21"/>
                <w:szCs w:val="21"/>
                <w:rFonts w:ascii="宋体" w:eastAsia="宋体" w:hAnsi="宋体" w:cs="宋体" w:hint="eastAsia"/>
              </w:rPr>
              <w:t xml:space="preserve">———以《中国近现代史纲要》课程为例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朱同留</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2016XJGLX10</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应用型本科院校项目驱动产学研合作教育模式的研究与构建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刘开华</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2016XJGLX11</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应用型高校产学研合作的实践探索——以信阳农林学院为例</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周俊</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2016XJGLX13</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基于产业为导向的“创业式”专业课教学的探索与实践</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李尽哲</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2016XJGLX14</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both"/>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基于微课的英语视听说自主学习模式研究</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蔡鸣</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2016XJGLX18</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snapToGrid w:val="off"/>
              <w:autoSpaceDE w:val="1"/>
              <w:autoSpaceDN w:val="1"/>
            </w:pPr>
            <w:r>
              <w:rPr>
                <w:sz w:val="21"/>
                <w:szCs w:val="21"/>
                <w:rFonts w:ascii="宋体" w:eastAsia="宋体" w:hAnsi="宋体" w:cs="宋体" w:hint="eastAsia"/>
              </w:rPr>
              <w:t>互联网+形势下应用型本科院校艺术专业创新创业教育改革研究</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魏薇</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2016XJGLX19</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基于</w:t>
            </w:r>
            <w:r>
              <w:rPr>
                <w:sz w:val="21"/>
                <w:szCs w:val="21"/>
                <w:rFonts w:ascii="宋体" w:eastAsia="宋体" w:hAnsi="宋体" w:cs="宋体" w:hint="eastAsia"/>
                <w:lang w:eastAsia="zh-CN"/>
              </w:rPr>
              <w:t>应用</w:t>
            </w:r>
            <w:r>
              <w:rPr>
                <w:sz w:val="21"/>
                <w:szCs w:val="21"/>
                <w:rFonts w:ascii="宋体" w:eastAsia="宋体" w:hAnsi="宋体" w:cs="宋体" w:hint="eastAsia"/>
              </w:rPr>
              <w:t xml:space="preserve">型人才培养模式的思政课实践教学体系研究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江义红</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color w:val="000000" w:themeColor="text1"/>
                <w:sz w:val="21"/>
                <w:szCs w:val="21"/>
                <w14:textFill>
                  <w14:solidFill>
                    <w14:schemeClr w14:val="tx1"/>
                  </w14:solidFill>
                </w14:textFill>
                <w:rFonts w:ascii="宋体" w:eastAsia="宋体" w:hAnsi="宋体" w:cs="宋体" w:hint="eastAsia"/>
              </w:rPr>
              <w:wordWrap w:val="off"/>
              <w:autoSpaceDE w:val="1"/>
              <w:autoSpaceDN w:val="1"/>
            </w:pPr>
            <w:r>
              <w:rPr>
                <w:sz w:val="21"/>
                <w:szCs w:val="21"/>
                <w:rFonts w:ascii="宋体" w:eastAsia="宋体" w:hAnsi="宋体" w:cs="宋体" w:hint="eastAsia"/>
              </w:rPr>
              <w:t>2016XJGLX28</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应用型人才培养模式下大学语文素质教育探索</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color w:val="000000" w:themeColor="text1"/>
                <w:sz w:val="21"/>
                <w:szCs w:val="21"/>
                <w14:textFill>
                  <w14:solidFill>
                    <w14:schemeClr w14:val="tx1"/>
                  </w14:solidFill>
                </w14:textFill>
                <w:rFonts w:ascii="宋体" w:eastAsia="宋体" w:hAnsi="宋体" w:cs="宋体" w:hint="eastAsia"/>
                <w:lang w:eastAsia="zh-CN" w:val="en-US"/>
              </w:rPr>
              <w:wordWrap w:val="off"/>
              <w:autoSpaceDE w:val="1"/>
              <w:autoSpaceDN w:val="1"/>
            </w:pPr>
            <w:r>
              <w:rPr>
                <w:sz w:val="21"/>
                <w:szCs w:val="21"/>
                <w:rFonts w:ascii="宋体" w:eastAsia="宋体" w:hAnsi="宋体" w:cs="宋体" w:hint="eastAsia"/>
              </w:rPr>
              <w:t>马英</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rPr>
              <w:t>校级计划项目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2016XJGLX29</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应用型本科院校旅游英语课程教学模式改革研究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芦晓莉</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校级计划项目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41</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多元文化背景下的地方高校公共音乐教学改革与实践</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汪法萍</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010000" w:firstRow="0" w:lastRow="0" w:firstColumn="0" w:lastColumn="0" w:oddVBand="0" w:evenVBand="0" w:oddHBand="0" w:evenHBand="1" w:firstRowFirstColumn="0" w:firstRowLastColumn="0" w:lastRowFirstColumn="0" w:lastRowLastColumn="0"/>
          <w:trHeight w:hRule="exact" w:val="567"/>
        </w:trPr>
        <w:tc>
          <w:tcPr>
            <w:tcW w:type="dxa" w:w="1556"/>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jc w:val="both"/>
              <w:spacing w:lineRule="exact" w:line="320"/>
              <w:pageBreakBefore w:val="0"/>
              <w:ind w:firstLine="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45</w:t>
            </w:r>
          </w:p>
        </w:tc>
        <w:tc>
          <w:tcPr>
            <w:tcW w:type="dxa" w:w="6750"/>
            <w:cnfStyle w:val="000001010000" w:firstRow="0" w:lastRow="0" w:firstColumn="0" w:lastColumn="0" w:oddVBand="0" w:evenVBand="1" w:oddHBand="0" w:evenHBand="1"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 xml:space="preserve">“慕课”背景下新建应用型本科院校通识教育课程教学研究          </w:t>
            </w:r>
            <w:r>
              <w:rPr>
                <w:sz w:val="21"/>
                <w:szCs w:val="21"/>
                <w:rFonts w:ascii="宋体" w:eastAsia="宋体" w:hAnsi="宋体" w:cs="宋体" w:hint="eastAsia"/>
              </w:rPr>
              <w:t xml:space="preserve">        　</w:t>
            </w:r>
          </w:p>
        </w:tc>
        <w:tc>
          <w:tcPr>
            <w:tcW w:type="dxa" w:w="1110"/>
            <w:cnfStyle w:val="000010010000" w:firstRow="0" w:lastRow="0" w:firstColumn="0" w:lastColumn="0" w:oddVBand="1" w:evenVBand="0" w:oddHBand="0" w:evenHBand="1"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胡欣欣</w:t>
            </w:r>
          </w:p>
        </w:tc>
        <w:tc>
          <w:tcPr>
            <w:tcW w:type="dxa" w:w="1593"/>
            <w:cnfStyle w:val="000001010000" w:firstRow="0" w:lastRow="0" w:firstColumn="0" w:lastColumn="0" w:oddVBand="0" w:evenVBand="1" w:oddHBand="0" w:evenHBand="1"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校级指导项目</w:t>
            </w:r>
          </w:p>
        </w:tc>
        <w:tc>
          <w:tcPr>
            <w:tcW w:type="dxa" w:w="2923"/>
            <w:cnfStyle w:val="000010010000" w:firstRow="0" w:lastRow="0" w:firstColumn="0" w:lastColumn="0" w:oddVBand="1" w:evenVBand="0" w:oddHBand="0" w:evenHBand="1"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r>
        <w:trPr>
          <w:cnfStyle w:val="000000100000" w:firstRow="0" w:lastRow="0" w:firstColumn="0" w:lastColumn="0" w:oddVBand="0" w:evenVBand="0" w:oddHBand="1" w:evenHBand="0" w:firstRowFirstColumn="0" w:firstRowLastColumn="0" w:lastRowFirstColumn="0" w:lastRowLastColumn="0"/>
          <w:trHeight w:hRule="exact" w:val="567"/>
        </w:trPr>
        <w:tc>
          <w:tcPr>
            <w:tcW w:type="dxa" w:w="1556"/>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jc w:val="center"/>
              <w:spacing w:lineRule="exact" w:line="320"/>
              <w:pageBreakBefore w:val="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2016XJGLX</w:t>
            </w:r>
            <w:r>
              <w:rPr>
                <w:color w:val="000000" w:themeColor="text1"/>
                <w:sz w:val="21"/>
                <w:szCs w:val="21"/>
                <w14:textFill>
                  <w14:solidFill>
                    <w14:schemeClr w14:val="tx1"/>
                  </w14:solidFill>
                </w14:textFill>
                <w:rFonts w:ascii="宋体" w:eastAsia="宋体" w:hAnsi="宋体" w:cs="宋体" w:hint="eastAsia"/>
                <w:lang w:eastAsia="zh-CN" w:val="en-US"/>
              </w:rPr>
              <w:t>47</w:t>
            </w:r>
          </w:p>
        </w:tc>
        <w:tc>
          <w:tcPr>
            <w:tcW w:type="dxa" w:w="6750"/>
            <w:cnfStyle w:val="000001100000" w:firstRow="0" w:lastRow="0" w:firstColumn="0" w:lastColumn="0" w:oddVBand="0" w:evenVBand="1" w:oddHBand="1" w:evenHBand="0" w:firstRowFirstColumn="0" w:firstRowLastColumn="0" w:lastRowFirstColumn="0" w:lastRowLastColumn="0"/>
            <w:vAlign w:val="center"/>
          </w:tcPr>
          <w:p>
            <w:pPr>
              <w:bidi w:val="0"/>
              <w:jc w:val="left"/>
              <w:spacing w:lineRule="exact" w:line="320"/>
              <w:pageBreakBefore w:val="0"/>
              <w:rPr>
                <w:sz w:val="21"/>
                <w:szCs w:val="21"/>
                <w:rFonts w:ascii="宋体" w:eastAsia="宋体" w:hAnsi="宋体" w:cs="宋体" w:hint="eastAsia"/>
              </w:rPr>
              <w:wordWrap w:val="off"/>
              <w:snapToGrid w:val="on"/>
              <w:autoSpaceDE w:val="1"/>
              <w:autoSpaceDN w:val="1"/>
            </w:pPr>
            <w:r>
              <w:rPr>
                <w:color w:val="000000" w:themeColor="text1"/>
                <w:sz w:val="21"/>
                <w:szCs w:val="21"/>
                <w14:textFill>
                  <w14:solidFill>
                    <w14:schemeClr w14:val="tx1"/>
                  </w14:solidFill>
                </w14:textFill>
                <w:rFonts w:ascii="宋体" w:eastAsia="宋体" w:hAnsi="宋体" w:cs="宋体" w:hint="eastAsia"/>
              </w:rPr>
              <w:t>应用型本科院校教学改革与管理问题与模式研究　</w:t>
            </w:r>
          </w:p>
        </w:tc>
        <w:tc>
          <w:tcPr>
            <w:tcW w:type="dxa" w:w="1110"/>
            <w:cnfStyle w:val="000010100000" w:firstRow="0" w:lastRow="0" w:firstColumn="0" w:lastColumn="0" w:oddVBand="1" w:evenVBand="0" w:oddHBand="1" w:evenHBand="0" w:firstRowFirstColumn="0" w:firstRowLastColumn="0" w:lastRowFirstColumn="0" w:lastRowLastColumn="0"/>
            <w:vAlign w:val="center"/>
            <w:shd w:val="clear" w:color="000000"/>
          </w:tcPr>
          <w:p>
            <w:pPr>
              <w:bidi w:val="0"/>
              <w:numPr>
                <w:ilvl w:val="0"/>
                <w:numId w:val="0"/>
              </w:numPr>
              <w:jc w:val="center"/>
              <w:spacing w:lineRule="exact" w:line="320"/>
              <w:pageBreakBefore w:val="0"/>
              <w:ind w:right="0" w:firstLine="0" w:leftChars="0"/>
              <w:rPr>
                <w:sz w:val="21"/>
                <w:szCs w:val="21"/>
                <w:rFonts w:ascii="宋体" w:eastAsia="宋体" w:hAnsi="宋体" w:cs="宋体" w:hint="eastAsia"/>
              </w:rPr>
              <w:wordWrap w:val="off"/>
              <w:autoSpaceDE w:val="1"/>
              <w:autoSpaceDN w:val="1"/>
            </w:pPr>
            <w:r>
              <w:rPr>
                <w:color w:val="000000" w:themeColor="text1"/>
                <w:sz w:val="21"/>
                <w:szCs w:val="21"/>
                <w14:textFill>
                  <w14:solidFill>
                    <w14:schemeClr w14:val="tx1"/>
                  </w14:solidFill>
                </w14:textFill>
                <w:rFonts w:ascii="宋体" w:eastAsia="宋体" w:hAnsi="宋体" w:cs="宋体" w:hint="eastAsia"/>
              </w:rPr>
              <w:t>耿城</w:t>
            </w:r>
          </w:p>
        </w:tc>
        <w:tc>
          <w:tcPr>
            <w:tcW w:type="dxa" w:w="1593"/>
            <w:cnfStyle w:val="000001100000" w:firstRow="0" w:lastRow="0" w:firstColumn="0" w:lastColumn="0" w:oddVBand="0" w:evenVBand="1" w:oddHBand="1" w:evenHBand="0" w:firstRowFirstColumn="0" w:firstRowLastColumn="0" w:lastRowFirstColumn="0" w:lastRowLastColumn="0"/>
            <w:vAlign w:val="center"/>
          </w:tcPr>
          <w:p>
            <w:pPr>
              <w:bidi w:val="0"/>
              <w:jc w:val="center"/>
              <w:spacing w:lineRule="exact" w:line="320"/>
              <w:pageBreakBefore w:val="0"/>
              <w:rPr>
                <w:sz w:val="21"/>
                <w:szCs w:val="21"/>
                <w:rFonts w:ascii="宋体" w:eastAsia="宋体" w:hAnsi="宋体" w:cs="宋体" w:hint="eastAsia"/>
              </w:rPr>
              <w:wordWrap w:val="off"/>
              <w:autoSpaceDE w:val="1"/>
              <w:autoSpaceDN w:val="1"/>
            </w:pPr>
            <w:r>
              <w:rPr>
                <w:sz w:val="21"/>
                <w:szCs w:val="21"/>
                <w:rFonts w:ascii="宋体" w:eastAsia="宋体" w:hAnsi="宋体" w:cs="宋体" w:hint="eastAsia"/>
              </w:rPr>
              <w:t>校级指导项目</w:t>
            </w:r>
          </w:p>
        </w:tc>
        <w:tc>
          <w:tcPr>
            <w:tcW w:type="dxa" w:w="2923"/>
            <w:cnfStyle w:val="000010100000" w:firstRow="0" w:lastRow="0" w:firstColumn="0" w:lastColumn="0" w:oddVBand="1" w:evenVBand="0" w:oddHBand="1" w:evenHBand="0" w:firstRowFirstColumn="0" w:firstRowLastColumn="0" w:lastRowFirstColumn="0" w:lastRowLastColumn="0"/>
            <w:vAlign w:val="center"/>
          </w:tcPr>
          <w:p>
            <w:pPr>
              <w:bidi w:val="0"/>
              <w:numPr>
                <w:ilvl w:val="0"/>
                <w:numId w:val="0"/>
              </w:numPr>
              <w:jc w:val="center"/>
              <w:spacing w:lineRule="auto" w:line="600"/>
              <w:pageBreakBefore w:val="0"/>
              <w:ind w:right="0" w:firstLine="0"/>
              <w:rPr>
                <w:sz w:val="21"/>
                <w:szCs w:val="21"/>
                <w:rFonts w:ascii="宋体" w:eastAsia="宋体" w:hAnsi="宋体" w:cs="宋体" w:hint="eastAsia"/>
                <w:lang w:eastAsia="zh-CN"/>
              </w:rPr>
              <w:wordWrap w:val="off"/>
              <w:autoSpaceDE w:val="1"/>
              <w:autoSpaceDN w:val="1"/>
            </w:pPr>
            <w:r>
              <w:rPr>
                <w:sz w:val="21"/>
                <w:szCs w:val="21"/>
                <w:rFonts w:ascii="宋体" w:eastAsia="宋体" w:hAnsi="宋体" w:cs="宋体" w:hint="eastAsia"/>
                <w:lang w:eastAsia="zh-CN"/>
              </w:rPr>
              <w:t>通过</w:t>
            </w:r>
          </w:p>
        </w:tc>
      </w:tr>
    </w:tbl>
    <w:p>
      <w:pPr>
        <w:jc w:val="both"/>
        <w:spacing w:lineRule="auto" w:line="240"/>
        <w:ind w:right="1320" w:firstLine="0"/>
        <w:rPr>
          <w:b w:val="1"/>
          <w:sz w:val="28"/>
          <w:szCs w:val="28"/>
          <w:rFonts w:ascii="华文仿宋" w:eastAsia="华文仿宋" w:hAnsi="华文仿宋" w:cs="华文仿宋"/>
        </w:rPr>
        <w:snapToGrid w:val="off"/>
      </w:pPr>
      <w:r>
        <w:rPr>
          <w:b w:val="1"/>
          <w:sz w:val="28"/>
          <w:szCs w:val="28"/>
          <w:rFonts w:ascii="华文仿宋" w:eastAsia="华文仿宋" w:hAnsi="华文仿宋" w:cs="华文仿宋"/>
        </w:rPr>
        <w:t>有关事项说明：</w:t>
      </w:r>
    </w:p>
    <w:p>
      <w:pPr>
        <w:jc w:val="both"/>
        <w:spacing w:lineRule="auto" w:line="240"/>
        <w:ind w:right="1320" w:firstLine="560"/>
        <w:rPr>
          <w:b w:val="0"/>
          <w:sz w:val="28"/>
          <w:szCs w:val="28"/>
          <w:rFonts w:ascii="华文仿宋" w:eastAsia="华文仿宋" w:hAnsi="华文仿宋" w:cs="华文仿宋"/>
        </w:rPr>
        <w:snapToGrid w:val="off"/>
      </w:pPr>
      <w:r>
        <w:rPr>
          <w:b w:val="0"/>
          <w:sz w:val="28"/>
          <w:szCs w:val="28"/>
          <w:rFonts w:ascii="华文仿宋" w:eastAsia="华文仿宋" w:hAnsi="华文仿宋" w:cs="华文仿宋"/>
        </w:rPr>
        <w:t>1、按照学校相关文件规定，以下几种情况不得通过鉴定：</w:t>
      </w:r>
      <w:r>
        <w:rPr>
          <w:b w:val="1"/>
          <w:sz w:val="28"/>
          <w:szCs w:val="28"/>
          <w:rFonts w:ascii="华文仿宋" w:eastAsia="华文仿宋" w:hAnsi="华文仿宋" w:cs="华文仿宋"/>
        </w:rPr>
        <w:t>没有发表教研论文者；以科研论文代替教</w:t>
      </w:r>
      <w:r>
        <w:rPr>
          <w:b w:val="1"/>
          <w:sz w:val="28"/>
          <w:szCs w:val="28"/>
          <w:rFonts w:ascii="华文仿宋" w:eastAsia="华文仿宋" w:hAnsi="华文仿宋" w:cs="华文仿宋"/>
        </w:rPr>
        <w:t>研论文者；论文题目与研究内容不符者。</w:t>
      </w:r>
    </w:p>
    <w:p>
      <w:pPr>
        <w:jc w:val="both"/>
        <w:spacing w:lineRule="auto" w:line="240"/>
        <w:ind w:right="1320" w:firstLine="560"/>
        <w:rPr>
          <w:b w:val="0"/>
          <w:sz w:val="28"/>
          <w:szCs w:val="28"/>
          <w:rFonts w:ascii="华文仿宋" w:eastAsia="华文仿宋" w:hAnsi="华文仿宋" w:cs="华文仿宋"/>
        </w:rPr>
        <w:snapToGrid w:val="off"/>
      </w:pPr>
      <w:r>
        <w:rPr>
          <w:b w:val="0"/>
          <w:sz w:val="28"/>
          <w:szCs w:val="28"/>
          <w:rFonts w:ascii="华文仿宋" w:eastAsia="华文仿宋" w:hAnsi="华文仿宋" w:cs="华文仿宋"/>
        </w:rPr>
        <w:t xml:space="preserve">2、本轮申请鉴定的项目中有两项属于上一轮延期鉴定项目；本轮项目鉴定共有6个项目申请延期。  </w:t>
      </w:r>
    </w:p>
    <w:p>
      <w:pPr>
        <w:jc w:val="both"/>
        <w:spacing w:lineRule="auto" w:line="360"/>
        <w:ind w:right="1320" w:firstLine="0"/>
        <w:rPr>
          <w:b w:val="1"/>
          <w:sz w:val="44"/>
          <w:szCs w:val="44"/>
          <w:rFonts w:ascii="华文仿宋" w:eastAsia="华文仿宋" w:hAnsi="华文仿宋" w:cs="华文仿宋" w:hint="eastAsia"/>
        </w:rPr>
        <w:snapToGrid w:val="off"/>
      </w:pPr>
    </w:p>
    <w:p>
      <w:pPr>
        <w:rPr>
          <w:rFonts w:asciiTheme="majorEastAsia" w:eastAsiaTheme="majorEastAsia" w:hAnsiTheme="majorEastAsia" w:cstheme="majorEastAsia" w:hint="eastAsia"/>
          <w:lang w:eastAsia="zh-CN"/>
        </w:rPr>
      </w:pPr>
    </w:p>
    <w:p>
      <w:pPr>
        <w:bidi w:val="0"/>
        <w:spacing w:lineRule="exact" w:line="320"/>
        <w:pageBreakBefore w:val="0"/>
        <w:rPr>
          <w:rFonts w:ascii="华文仿宋" w:eastAsia="华文仿宋" w:hAnsi="华文仿宋" w:cs="华文仿宋" w:hint="eastAsia"/>
          <w:lang w:eastAsia="zh-CN"/>
        </w:rPr>
        <w:wordWrap w:val="off"/>
        <w:autoSpaceDE w:val="1"/>
        <w:autoSpaceDN w:val="1"/>
      </w:pPr>
    </w:p>
    <w:p>
      <w:pPr>
        <w:rPr/>
      </w:pPr>
    </w:p>
    <w:sectPr>
      <w:footerReference w:type="default" r:id="rId5"/>
      <w:pgSz w:w="16838" w:h="11906" w:orient="landscape"/>
      <w:pgMar w:top="1800" w:left="1440" w:bottom="1800" w:right="144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2"/>
    <w:family w:val="auto"/>
    <w:pitch w:val="default"/>
    <w:sig w:usb0="00000000" w:usb1="00000000" w:usb2="00000000" w:usb3="00000000" w:csb0="80000000" w:csb1="00000000"/>
  </w:font>
  <w:font w:name="Arial">
    <w:panose1 w:val="020B0604020202020204"/>
    <w:charset w:val="1"/>
    <w:family w:val="swiss"/>
    <w:pitch w:val="default"/>
    <w:sig w:usb0="e0002aff" w:usb1="c0007843" w:usb2="00000009" w:usb3="00000000" w:csb0="400001ff" w:csb1="ffff0000"/>
  </w:font>
  <w:font w:name="黑体">
    <w:panose1 w:val="02010609060101010101"/>
    <w:charset w:val="134"/>
    <w:family w:val="auto"/>
    <w:pitch w:val="default"/>
    <w:sig w:usb0="800002bf" w:usb1="38cf7cfa" w:usb2="00000016" w:usb3="00000000" w:csb0="00040001" w:csb1="00000000"/>
  </w:font>
  <w:font w:name="Courier New">
    <w:panose1 w:val="02070309020205020404"/>
    <w:charset w:val="1"/>
    <w:family w:val="modern"/>
    <w:pitch w:val="default"/>
    <w:sig w:usb0="e0002aff" w:usb1="c0007843" w:usb2="00000009" w:usb3="00000000" w:csb0="400001ff" w:csb1="ffff0000"/>
  </w:font>
  <w:font w:name="Symbol">
    <w:panose1 w:val="05050102010706020507"/>
    <w:charset w:val="2"/>
    <w:family w:val="roman"/>
    <w:pitch w:val="default"/>
    <w:sig w:usb0="00000000" w:usb1="00000000" w:usb2="00000000" w:usb3="00000000" w:csb0="80000000" w:csb1="00000000"/>
  </w:font>
  <w:font w:name="Calibri">
    <w:panose1 w:val="020F0502020204030204"/>
    <w:charset w:val="0"/>
    <w:family w:val="swiss"/>
    <w:pitch w:val="default"/>
    <w:sig w:usb0="e00002ff" w:usb1="4000acff" w:usb2="00000001" w:usb3="00000000" w:csb0="2000019f" w:csb1="00000000"/>
  </w:font>
  <w:font w:name="Malgun Gothic">
    <w:panose1 w:val="020B0503020000020004"/>
    <w:charset w:val="129"/>
    <w:family w:val="auto"/>
    <w:pitch w:val="default"/>
    <w:sig w:usb0="900002af" w:usb1="01d77cfb" w:usb2="00000012" w:usb3="00000000" w:csb0="00080001" w:csb1="00000000"/>
  </w:font>
  <w:font w:name="华文仿宋">
    <w:altName w:val="ä»¿å®"/>
    <w:panose1 w:val="02010600040101010101"/>
    <w:charset w:val="82"/>
    <w:family w:val="auto"/>
    <w:pitch w:val="default"/>
    <w:sig w:usb0="00000000" w:usb1="00000000" w:usb2="00000000" w:usb3="00000000" w:csb0="0004009f" w:csb1="dfd70000"/>
  </w:font>
  <w:font w:name="仿宋">
    <w:panose1 w:val="02010609060101010101"/>
    <w:charset w:val="134"/>
    <w:family w:val="auto"/>
    <w:pitch w:val="default"/>
    <w:sig w:usb0="800002bf" w:usb1="38cf7cfa" w:usb2="00000016" w:usb3="00000000" w:csb0="00040001" w:csb1="00000000"/>
  </w:font>
  <w:font w:name="仿宋">
    <w:panose1 w:val="02010609060101010101"/>
    <w:charset w:val="82"/>
    <w:family w:val="auto"/>
    <w:pitch w:val="default"/>
    <w:sig w:usb0="800002bf" w:usb1="38cf7cfa" w:usb2="00000016" w:usb3="00000000" w:csb0="00040001"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1"/>
      <w:rPr/>
    </w:pPr>
    <w:r>
      <w:rPr>
        <w:sz w:val="20"/>
      </w:rPr>
      <mc:AlternateContent>
        <mc:Choice Requires="wps">
          <w:drawing>
            <wp:anchor distT="0" distB="0" distL="114300" distR="114300" simplePos="0" relativeHeight="251624960" behindDoc="0" locked="0" layoutInCell="1" allowOverlap="1">
              <wp:simplePos x="0" y="0"/>
              <wp:positionH relativeFrom="margin">
                <wp:align>center</wp:align>
              </wp:positionH>
              <wp:positionV relativeFrom="paragraph">
                <wp:posOffset>-5</wp:posOffset>
              </wp:positionV>
              <wp:extent cx="1828800" cy="18288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58420" cy="139700"/>
                      </a:xfrm>
                      <a:prstGeom prst="rect"/>
                      <a:noFill/>
                      <a:ln w="6350" cap="flat">
                        <a:noFill/>
                      </a:ln>
                    </wps:spPr>
                    <wps:style>
                      <a:lnRef idx="0">
                        <a:schemeClr val="accent1"/>
                      </a:lnRef>
                      <a:fillRef idx="0">
                        <a:schemeClr val="accent1"/>
                      </a:fillRef>
                      <a:effectRef idx="0">
                        <a:schemeClr val="accent1"/>
                      </a:effectRef>
                      <a:fontRef idx="minor">
                        <a:schemeClr val="dk1"/>
                      </a:fontRef>
                    </wps:style>
                    <wps:txbx style="mso-fit-shape-to-text:t;" inset="0pt,0pt,0pt,0pt">
                      <w:txbxContent>
                        <w:p>
                          <w:pPr>
                            <w:pStyle w:val="PO151"/>
                            <w:rPr>
                              <w:rFonts w:eastAsiaTheme="minorEastAsia" w:hint="eastAsia"/>
                              <w:lang w:eastAsia="zh-CN"/>
                            </w:rPr>
                          </w:pPr>
                          <w:r>
                            <w:rPr>
                              <w:rFonts w:hint="eastAsia"/>
                            </w:rPr>
                            <w:fldChar w:fldCharType="begin"/>
                          </w:r>
                          <w:r>
                            <w:rPr>
                              <w:rFonts w:hint="eastAsia"/>
                            </w:rPr>
                            <w:instrText>PAGE  \* MERGEFORMAT</w:instrText>
                          </w:r>
                          <w: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0">
                      <a:prstTxWarp prst="textNoShape"/>
                      <a:spAutoFit/>
                    </wps:bodyPr>
                  </wps:wsp>
                </a:graphicData>
              </a:graphic>
            </wp:anchor>
          </w:drawing>
        </mc:Choice>
        <mc:Fallback>
          <w:pict>
            <v:shape id="_x0000_s3" style="position:absolute;left:0;margin-left:0pt;mso-position-horizontal:center;mso-position-horizontal-relative:margin;margin-top:0pt;mso-position-vertical:absolute;mso-position-vertical-relative:text;width:4.5pt;height:10.9pt;z-index:251624960;mso-wrap-style:none" coordsize="57785,139065" path="m,l57785,,57785,139065,,139065xe" stroked="f" filled="f">
              <v:textbox style="mso-fit-shape-to-text:t;" inset="0pt,0pt,0pt,0pt">
                <w:txbxContent>
                  <w:p>
                    <w:pPr>
                      <w:pStyle w:val="PO151"/>
                      <w:rPr>
                        <w:rFonts w:eastAsiaTheme="minorEastAsia" w:hint="eastAsia"/>
                        <w:lang w:eastAsia="zh-CN"/>
                      </w:rPr>
                    </w:pPr>
                    <w:r>
                      <w:rPr>
                        <w:rFonts w:hint="eastAsia"/>
                      </w:rPr>
                      <w:fldChar w:fldCharType="begin"/>
                    </w:r>
                    <w:r>
                      <w:rPr>
                        <w:rFonts w:hint="eastAsia"/>
                      </w:rPr>
                      <w:instrText>PAGE  \* MERGEFORMAT</w:instrText>
                    </w:r>
                    <w: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compat>
    <w:balanceSingleByteDoubleByteWidth/>
    <w:adjustLineHeightInTable/>
    <w:useFELayout/>
    <w:compatSetting w:name="compatibilityMode" w:uri="http://schemas.microsoft.com/office/word" w:val="14"/>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rPr>
    </w:rPrDefault>
  </w:docDefaults>
  <w:style w:default="1" w:styleId="PO1" w:type="paragraph">
    <w:name w:val="Normal"/>
    <w:qFormat/>
    <w:uiPriority w:val="1"/>
    <w:pPr>
      <w:jc w:val="both"/>
      <w:rPr/>
    </w:pPr>
    <w:rPr>
      <w:sz w:val="21"/>
      <w:szCs w:val="21"/>
      <w:rFonts w:asciiTheme="minorHAnsi" w:eastAsiaTheme="minorEastAsia" w:hAnsiTheme="minorHAnsi" w:cstheme="minorBidi"/>
      <w:lang w:bidi="ar-SA" w:eastAsia="zh-CN" w:val="en-US"/>
    </w:rPr>
  </w:style>
  <w:style w:default="1" w:styleId="PO2" w:type="character">
    <w:name w:val="Default Paragraph Font"/>
    <w:uiPriority w:val="2"/>
    <w:semiHidden/>
  </w:style>
  <w:style w:default="1" w:styleId="PO3" w:type="table">
    <w:name w:val="Normal Table"/>
    <w:uiPriority w:val="3"/>
    <w:semiHidden/>
    <w:tblPr>
      <w:tblCellMar>
        <w:bottom w:type="dxa" w:w="0"/>
        <w:left w:type="dxa" w:w="108"/>
        <w:right w:type="dxa" w:w="108"/>
        <w:top w:type="dxa" w:w="0"/>
      </w:tblCellMar>
    </w:tblPr>
  </w:style>
  <w:style w:default="1" w:styleId="PO4" w:type="numbering">
    <w:name w:val="No List"/>
    <w:next w:val="PO1"/>
    <w:uiPriority w:val="4"/>
    <w:semiHidden/>
    <w:unhideWhenUsed/>
  </w:style>
  <w:style w:styleId="PO151" w:type="paragraph">
    <w:name w:val="footer"/>
    <w:basedOn w:val="PO1"/>
    <w:uiPriority w:val="151"/>
    <w:pPr>
      <w:jc w:val="left"/>
      <w:tabs>
        <w:tab w:val="center" w:pos="4153"/>
        <w:tab w:val="right" w:pos="8306"/>
      </w:tabs>
      <w:rPr/>
      <w:snapToGrid w:val="off"/>
    </w:pPr>
    <w:rPr>
      <w:sz w:val="18"/>
      <w:szCs w:val="18"/>
    </w:rPr>
  </w:style>
  <w:style w:styleId="PO152" w:type="paragraph">
    <w:name w:val="header"/>
    <w:basedOn w:val="PO1"/>
    <w:qFormat/>
    <w:uiPriority w:val="152"/>
    <w:pPr>
      <w:jc w:val="both"/>
      <w:spacing w:lineRule="auto" w:line="240"/>
      <w:pBdr>
        <w:top w:val="nil" w:sz="0" w:space="1" w:color="000000"/>
        <w:bottom w:val="nil" w:sz="0" w:space="1" w:color="000000"/>
        <w:left w:val="nil" w:sz="0" w:space="4" w:color="000000"/>
        <w:right w:val="nil" w:sz="0" w:space="4" w:color="000000"/>
      </w:pBdr>
      <w:tabs>
        <w:tab w:val="center" w:pos="4153"/>
        <w:tab w:val="right" w:pos="8306"/>
      </w:tabs>
      <w:rPr/>
      <w:outlineLvl w:val="9"/>
      <w:snapToGrid w:val="off"/>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2.xml"></Relationship><Relationship Id="rId6"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3</Pages>
  <Paragraphs>0</Paragraphs>
  <Words>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Trx</dc:creator>
  <cp:lastModifiedBy/>
  <dcterms:modified xsi:type="dcterms:W3CDTF">2019-10-01T08:21:06Z</dcterms:modified>
</cp:coreProperties>
</file>